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8B14" w14:textId="77777777" w:rsidR="008B5633" w:rsidRDefault="008B5633">
      <w:pPr>
        <w:pStyle w:val="PlainText"/>
        <w:tabs>
          <w:tab w:val="left" w:pos="180"/>
        </w:tabs>
        <w:jc w:val="center"/>
        <w:rPr>
          <w:rFonts w:ascii="Times New Roman" w:hAnsi="Times New Roman"/>
          <w:b/>
          <w:sz w:val="24"/>
        </w:rPr>
      </w:pPr>
    </w:p>
    <w:p w14:paraId="42550701" w14:textId="77777777" w:rsidR="0094732B" w:rsidRPr="0094732B" w:rsidRDefault="0094732B" w:rsidP="0094732B">
      <w:pPr>
        <w:pStyle w:val="Header"/>
        <w:jc w:val="right"/>
        <w:rPr>
          <w:rFonts w:asciiTheme="minorHAnsi" w:hAnsiTheme="minorHAnsi" w:cstheme="minorHAnsi"/>
          <w:sz w:val="22"/>
          <w:szCs w:val="22"/>
        </w:rPr>
      </w:pPr>
      <w:r w:rsidRPr="0094732B">
        <w:rPr>
          <w:rFonts w:asciiTheme="minorHAnsi" w:hAnsiTheme="minorHAnsi" w:cstheme="minorHAnsi"/>
          <w:sz w:val="22"/>
          <w:szCs w:val="22"/>
        </w:rPr>
        <w:t>Adopted by the NAIFA-</w:t>
      </w:r>
      <w:r w:rsidRPr="0094732B">
        <w:rPr>
          <w:rFonts w:asciiTheme="minorHAnsi" w:hAnsiTheme="minorHAnsi" w:cstheme="minorHAnsi"/>
          <w:sz w:val="22"/>
          <w:szCs w:val="22"/>
          <w:highlight w:val="yellow"/>
        </w:rPr>
        <w:t>XX</w:t>
      </w:r>
      <w:r w:rsidRPr="0094732B">
        <w:rPr>
          <w:rFonts w:asciiTheme="minorHAnsi" w:hAnsiTheme="minorHAnsi" w:cstheme="minorHAnsi"/>
          <w:sz w:val="22"/>
          <w:szCs w:val="22"/>
        </w:rPr>
        <w:t xml:space="preserve"> Chapter on </w:t>
      </w:r>
      <w:r w:rsidRPr="0094732B">
        <w:rPr>
          <w:rFonts w:asciiTheme="minorHAnsi" w:hAnsiTheme="minorHAnsi" w:cstheme="minorHAnsi"/>
          <w:sz w:val="22"/>
          <w:szCs w:val="22"/>
          <w:highlight w:val="yellow"/>
        </w:rPr>
        <w:t>&lt;DATE&gt;</w:t>
      </w:r>
    </w:p>
    <w:p w14:paraId="315FC6A9" w14:textId="77777777" w:rsidR="0094732B" w:rsidRDefault="0094732B">
      <w:pPr>
        <w:pStyle w:val="PlainText"/>
        <w:tabs>
          <w:tab w:val="left" w:pos="180"/>
        </w:tabs>
        <w:jc w:val="center"/>
        <w:rPr>
          <w:rFonts w:asciiTheme="minorHAnsi" w:hAnsiTheme="minorHAnsi" w:cstheme="minorHAnsi"/>
          <w:b/>
          <w:sz w:val="22"/>
          <w:szCs w:val="22"/>
        </w:rPr>
      </w:pPr>
    </w:p>
    <w:p w14:paraId="320FEB2A" w14:textId="6DD577BF" w:rsidR="00775C9D" w:rsidRPr="00E40BE0" w:rsidRDefault="00F9643F">
      <w:pPr>
        <w:pStyle w:val="PlainText"/>
        <w:tabs>
          <w:tab w:val="left" w:pos="180"/>
        </w:tabs>
        <w:jc w:val="center"/>
        <w:rPr>
          <w:rFonts w:asciiTheme="minorHAnsi" w:hAnsiTheme="minorHAnsi" w:cstheme="minorHAnsi"/>
          <w:b/>
          <w:sz w:val="22"/>
          <w:szCs w:val="22"/>
        </w:rPr>
      </w:pPr>
      <w:r w:rsidRPr="00E40BE0">
        <w:rPr>
          <w:rFonts w:asciiTheme="minorHAnsi" w:hAnsiTheme="minorHAnsi" w:cstheme="minorHAnsi"/>
          <w:b/>
          <w:sz w:val="22"/>
          <w:szCs w:val="22"/>
        </w:rPr>
        <w:t xml:space="preserve">WHISTLEBLOWER </w:t>
      </w:r>
      <w:r w:rsidR="0095563D" w:rsidRPr="00E40BE0">
        <w:rPr>
          <w:rFonts w:asciiTheme="minorHAnsi" w:hAnsiTheme="minorHAnsi" w:cstheme="minorHAnsi"/>
          <w:b/>
          <w:sz w:val="22"/>
          <w:szCs w:val="22"/>
        </w:rPr>
        <w:t>POLICY</w:t>
      </w:r>
    </w:p>
    <w:p w14:paraId="288232CC" w14:textId="19C76A5E" w:rsidR="00775C9D" w:rsidRPr="00E40BE0" w:rsidRDefault="000C17FF">
      <w:pPr>
        <w:pStyle w:val="PlainText"/>
        <w:tabs>
          <w:tab w:val="left" w:pos="180"/>
        </w:tabs>
        <w:jc w:val="center"/>
        <w:rPr>
          <w:rFonts w:asciiTheme="minorHAnsi" w:hAnsiTheme="minorHAnsi" w:cstheme="minorHAnsi"/>
          <w:sz w:val="22"/>
          <w:szCs w:val="22"/>
          <w:u w:val="single"/>
        </w:rPr>
      </w:pPr>
      <w:r w:rsidRPr="00E40BE0">
        <w:rPr>
          <w:rFonts w:asciiTheme="minorHAnsi" w:hAnsiTheme="minorHAnsi" w:cstheme="minorHAnsi"/>
          <w:b/>
          <w:sz w:val="22"/>
          <w:szCs w:val="22"/>
          <w:u w:val="single"/>
        </w:rPr>
        <w:t xml:space="preserve">NAIFA – </w:t>
      </w:r>
      <w:r w:rsidRPr="00E40BE0">
        <w:rPr>
          <w:rFonts w:asciiTheme="minorHAnsi" w:hAnsiTheme="minorHAnsi" w:cstheme="minorHAnsi"/>
          <w:b/>
          <w:sz w:val="22"/>
          <w:szCs w:val="22"/>
          <w:highlight w:val="yellow"/>
          <w:u w:val="single"/>
        </w:rPr>
        <w:t>XX</w:t>
      </w:r>
      <w:r w:rsidRPr="00E40BE0">
        <w:rPr>
          <w:rFonts w:asciiTheme="minorHAnsi" w:hAnsiTheme="minorHAnsi" w:cstheme="minorHAnsi"/>
          <w:b/>
          <w:sz w:val="22"/>
          <w:szCs w:val="22"/>
          <w:u w:val="single"/>
        </w:rPr>
        <w:t xml:space="preserve"> CHAPTER</w:t>
      </w:r>
    </w:p>
    <w:p w14:paraId="25E3786E" w14:textId="5315F413" w:rsidR="00775C9D" w:rsidRPr="00E40BE0" w:rsidRDefault="00775C9D">
      <w:pPr>
        <w:pStyle w:val="PlainText"/>
        <w:tabs>
          <w:tab w:val="left" w:pos="0"/>
        </w:tabs>
        <w:jc w:val="both"/>
        <w:rPr>
          <w:rFonts w:asciiTheme="minorHAnsi" w:hAnsiTheme="minorHAnsi" w:cstheme="minorHAnsi"/>
          <w:sz w:val="22"/>
          <w:szCs w:val="22"/>
        </w:rPr>
      </w:pPr>
    </w:p>
    <w:p w14:paraId="0C416A9A" w14:textId="77777777" w:rsidR="008B5633" w:rsidRPr="00E40BE0" w:rsidRDefault="008B5633">
      <w:pPr>
        <w:pStyle w:val="PlainText"/>
        <w:tabs>
          <w:tab w:val="left" w:pos="0"/>
        </w:tabs>
        <w:jc w:val="both"/>
        <w:rPr>
          <w:rFonts w:asciiTheme="minorHAnsi" w:hAnsiTheme="minorHAnsi" w:cstheme="minorHAnsi"/>
          <w:sz w:val="22"/>
          <w:szCs w:val="22"/>
        </w:rPr>
      </w:pPr>
    </w:p>
    <w:p w14:paraId="228FCFE8" w14:textId="77777777" w:rsidR="00775C9D" w:rsidRPr="00E40BE0" w:rsidRDefault="00775C9D">
      <w:pPr>
        <w:pStyle w:val="PlainText"/>
        <w:tabs>
          <w:tab w:val="left" w:pos="0"/>
        </w:tabs>
        <w:jc w:val="both"/>
        <w:rPr>
          <w:rFonts w:asciiTheme="minorHAnsi" w:hAnsiTheme="minorHAnsi" w:cstheme="minorHAnsi"/>
          <w:sz w:val="22"/>
          <w:szCs w:val="22"/>
          <w:u w:val="single"/>
        </w:rPr>
      </w:pPr>
      <w:r w:rsidRPr="00E40BE0">
        <w:rPr>
          <w:rFonts w:asciiTheme="minorHAnsi" w:hAnsiTheme="minorHAnsi" w:cstheme="minorHAnsi"/>
          <w:sz w:val="22"/>
          <w:szCs w:val="22"/>
        </w:rPr>
        <w:t>A.</w:t>
      </w:r>
      <w:r w:rsidRPr="00E40BE0">
        <w:rPr>
          <w:rFonts w:asciiTheme="minorHAnsi" w:hAnsiTheme="minorHAnsi" w:cstheme="minorHAnsi"/>
          <w:sz w:val="22"/>
          <w:szCs w:val="22"/>
        </w:rPr>
        <w:tab/>
      </w:r>
      <w:r w:rsidRPr="00E40BE0">
        <w:rPr>
          <w:rFonts w:asciiTheme="minorHAnsi" w:hAnsiTheme="minorHAnsi" w:cstheme="minorHAnsi"/>
          <w:sz w:val="22"/>
          <w:szCs w:val="22"/>
          <w:u w:val="single"/>
        </w:rPr>
        <w:t>Guiding Principles</w:t>
      </w:r>
    </w:p>
    <w:p w14:paraId="0227B6C0" w14:textId="77777777" w:rsidR="001D35ED" w:rsidRPr="00E40BE0" w:rsidRDefault="001D35ED">
      <w:pPr>
        <w:pStyle w:val="PlainText"/>
        <w:tabs>
          <w:tab w:val="left" w:pos="0"/>
        </w:tabs>
        <w:jc w:val="both"/>
        <w:rPr>
          <w:rFonts w:asciiTheme="minorHAnsi" w:hAnsiTheme="minorHAnsi" w:cstheme="minorHAnsi"/>
          <w:sz w:val="22"/>
          <w:szCs w:val="22"/>
        </w:rPr>
      </w:pPr>
    </w:p>
    <w:p w14:paraId="3504CA57" w14:textId="5D44C7F7" w:rsidR="00826F31" w:rsidRPr="00E40BE0" w:rsidRDefault="00826F31" w:rsidP="00826F31">
      <w:pPr>
        <w:autoSpaceDE w:val="0"/>
        <w:autoSpaceDN w:val="0"/>
        <w:adjustRightInd w:val="0"/>
        <w:ind w:left="720"/>
        <w:rPr>
          <w:rFonts w:asciiTheme="minorHAnsi" w:eastAsia="Calibri" w:hAnsiTheme="minorHAnsi" w:cstheme="minorHAnsi"/>
          <w:sz w:val="22"/>
          <w:szCs w:val="22"/>
        </w:rPr>
      </w:pPr>
      <w:r w:rsidRPr="00E40BE0">
        <w:rPr>
          <w:rFonts w:asciiTheme="minorHAnsi" w:eastAsia="Calibri" w:hAnsiTheme="minorHAnsi" w:cstheme="minorHAnsi"/>
          <w:sz w:val="22"/>
          <w:szCs w:val="22"/>
        </w:rPr>
        <w:t xml:space="preserve">The objective of </w:t>
      </w:r>
      <w:r w:rsidR="00C071E9" w:rsidRPr="00E40BE0">
        <w:rPr>
          <w:rFonts w:asciiTheme="minorHAnsi" w:hAnsiTheme="minorHAnsi" w:cstheme="minorHAnsi"/>
          <w:sz w:val="22"/>
          <w:szCs w:val="22"/>
        </w:rPr>
        <w:t>NAIFA-</w:t>
      </w:r>
      <w:r w:rsidR="00C071E9" w:rsidRPr="00E40BE0">
        <w:rPr>
          <w:rFonts w:asciiTheme="minorHAnsi" w:hAnsiTheme="minorHAnsi" w:cstheme="minorHAnsi"/>
          <w:sz w:val="22"/>
          <w:szCs w:val="22"/>
          <w:highlight w:val="yellow"/>
        </w:rPr>
        <w:t>XX</w:t>
      </w:r>
      <w:r w:rsidRPr="00E40BE0">
        <w:rPr>
          <w:rFonts w:asciiTheme="minorHAnsi" w:eastAsia="Calibri" w:hAnsiTheme="minorHAnsi" w:cstheme="minorHAnsi"/>
          <w:sz w:val="22"/>
          <w:szCs w:val="22"/>
        </w:rPr>
        <w:t>’s Whistleblower Policy is to establish a policy for the protection of Chapter volunteers and employees reporting concerns from retaliation, harassment, or adverse employment consequences related to complaints of organizational wrongdoing.</w:t>
      </w:r>
    </w:p>
    <w:p w14:paraId="6CCB07B3" w14:textId="77777777" w:rsidR="00775C9D" w:rsidRPr="00E40BE0" w:rsidRDefault="00775C9D">
      <w:pPr>
        <w:pStyle w:val="PlainText"/>
        <w:tabs>
          <w:tab w:val="left" w:pos="0"/>
        </w:tabs>
        <w:jc w:val="both"/>
        <w:rPr>
          <w:rFonts w:asciiTheme="minorHAnsi" w:hAnsiTheme="minorHAnsi" w:cstheme="minorHAnsi"/>
          <w:sz w:val="22"/>
          <w:szCs w:val="22"/>
        </w:rPr>
      </w:pPr>
    </w:p>
    <w:p w14:paraId="43F358D6" w14:textId="30025791" w:rsidR="00775C9D" w:rsidRPr="00E40BE0" w:rsidRDefault="00775C9D">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B.</w:t>
      </w:r>
      <w:r w:rsidRPr="00E40BE0">
        <w:rPr>
          <w:rFonts w:asciiTheme="minorHAnsi" w:hAnsiTheme="minorHAnsi" w:cstheme="minorHAnsi"/>
          <w:sz w:val="22"/>
          <w:szCs w:val="22"/>
        </w:rPr>
        <w:tab/>
      </w:r>
      <w:r w:rsidR="00E7049E" w:rsidRPr="00E40BE0">
        <w:rPr>
          <w:rFonts w:asciiTheme="minorHAnsi" w:hAnsiTheme="minorHAnsi" w:cstheme="minorHAnsi"/>
          <w:sz w:val="22"/>
          <w:szCs w:val="22"/>
          <w:u w:val="single"/>
        </w:rPr>
        <w:t>Procedure</w:t>
      </w:r>
    </w:p>
    <w:p w14:paraId="69A3D87D" w14:textId="77777777" w:rsidR="00775C9D" w:rsidRPr="00E40BE0" w:rsidRDefault="00775C9D">
      <w:pPr>
        <w:pStyle w:val="PlainText"/>
        <w:tabs>
          <w:tab w:val="left" w:pos="0"/>
        </w:tabs>
        <w:jc w:val="both"/>
        <w:rPr>
          <w:rFonts w:asciiTheme="minorHAnsi" w:hAnsiTheme="minorHAnsi" w:cstheme="minorHAnsi"/>
          <w:sz w:val="22"/>
          <w:szCs w:val="22"/>
        </w:rPr>
      </w:pPr>
    </w:p>
    <w:p w14:paraId="6517C100" w14:textId="4EF5169B" w:rsidR="00E7049E" w:rsidRPr="00E40BE0" w:rsidRDefault="00E7049E" w:rsidP="00E7049E">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NAIFA-</w:t>
      </w:r>
      <w:r w:rsidRPr="00E40BE0">
        <w:rPr>
          <w:rFonts w:asciiTheme="minorHAnsi" w:hAnsiTheme="minorHAnsi" w:cstheme="minorHAnsi"/>
          <w:sz w:val="22"/>
          <w:szCs w:val="22"/>
          <w:highlight w:val="yellow"/>
        </w:rPr>
        <w:t>XX</w:t>
      </w:r>
      <w:r w:rsidRPr="00E40BE0">
        <w:rPr>
          <w:rFonts w:asciiTheme="minorHAnsi" w:hAnsiTheme="minorHAnsi" w:cstheme="minorHAnsi"/>
          <w:sz w:val="22"/>
          <w:szCs w:val="22"/>
        </w:rPr>
        <w:t xml:space="preserve"> encourages volunteers and employees to observe high standards of business and personal ethics in the conduct of their duties and responsibilities. Staff and representatives of the organization should practice honesty and integrity in fulfilling their responsibilities and comply with all applicable laws and regulations.</w:t>
      </w:r>
    </w:p>
    <w:p w14:paraId="5B540D51" w14:textId="77777777" w:rsidR="00E7049E" w:rsidRPr="00E40BE0" w:rsidRDefault="00E7049E" w:rsidP="00E7049E">
      <w:pPr>
        <w:pStyle w:val="PlainText"/>
        <w:tabs>
          <w:tab w:val="left" w:pos="0"/>
        </w:tabs>
        <w:ind w:left="720"/>
        <w:rPr>
          <w:rFonts w:asciiTheme="minorHAnsi" w:hAnsiTheme="minorHAnsi" w:cstheme="minorHAnsi"/>
          <w:sz w:val="22"/>
          <w:szCs w:val="22"/>
        </w:rPr>
      </w:pPr>
    </w:p>
    <w:p w14:paraId="1B577402" w14:textId="5A9DC28A" w:rsidR="00775C9D" w:rsidRPr="00E40BE0" w:rsidRDefault="00E7049E" w:rsidP="000E5CA0">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Detailed are the procedures for reporting violations of (a) questionable or improper accounting or auditing matters, and (b) violations and suspected violations of applicable laws and regulations (herein collectively referred to as Concerns); (c) and for the receipt and retention of complaints received.</w:t>
      </w:r>
    </w:p>
    <w:p w14:paraId="050A2F5F" w14:textId="77777777" w:rsidR="00DD23C4" w:rsidRPr="00E40BE0" w:rsidRDefault="00DD23C4">
      <w:pPr>
        <w:pStyle w:val="PlainText"/>
        <w:tabs>
          <w:tab w:val="left" w:pos="0"/>
        </w:tabs>
        <w:jc w:val="both"/>
        <w:rPr>
          <w:rFonts w:asciiTheme="minorHAnsi" w:hAnsiTheme="minorHAnsi" w:cstheme="minorHAnsi"/>
          <w:sz w:val="22"/>
          <w:szCs w:val="22"/>
        </w:rPr>
      </w:pPr>
    </w:p>
    <w:p w14:paraId="72C7FD4A" w14:textId="7750E1BD" w:rsidR="00775C9D" w:rsidRPr="00E40BE0" w:rsidRDefault="00775C9D">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C.</w:t>
      </w:r>
      <w:r w:rsidRPr="00E40BE0">
        <w:rPr>
          <w:rFonts w:asciiTheme="minorHAnsi" w:hAnsiTheme="minorHAnsi" w:cstheme="minorHAnsi"/>
          <w:sz w:val="22"/>
          <w:szCs w:val="22"/>
        </w:rPr>
        <w:tab/>
      </w:r>
      <w:r w:rsidR="00390332" w:rsidRPr="00E40BE0">
        <w:rPr>
          <w:rFonts w:asciiTheme="minorHAnsi" w:hAnsiTheme="minorHAnsi" w:cstheme="minorHAnsi"/>
          <w:sz w:val="22"/>
          <w:szCs w:val="22"/>
          <w:u w:val="single"/>
        </w:rPr>
        <w:t>Reporting Responsibility</w:t>
      </w:r>
    </w:p>
    <w:p w14:paraId="7D4CFF68" w14:textId="77777777" w:rsidR="00775C9D" w:rsidRPr="00E40BE0" w:rsidRDefault="00775C9D">
      <w:pPr>
        <w:pStyle w:val="PlainText"/>
        <w:tabs>
          <w:tab w:val="left" w:pos="0"/>
        </w:tabs>
        <w:jc w:val="both"/>
        <w:rPr>
          <w:rFonts w:asciiTheme="minorHAnsi" w:hAnsiTheme="minorHAnsi" w:cstheme="minorHAnsi"/>
          <w:sz w:val="22"/>
          <w:szCs w:val="22"/>
        </w:rPr>
      </w:pPr>
    </w:p>
    <w:p w14:paraId="4210E5E0" w14:textId="36C8B9A6" w:rsidR="00390332" w:rsidRPr="00E40BE0" w:rsidRDefault="00390332" w:rsidP="00390332">
      <w:pPr>
        <w:autoSpaceDE w:val="0"/>
        <w:autoSpaceDN w:val="0"/>
        <w:adjustRightInd w:val="0"/>
        <w:ind w:left="720"/>
        <w:rPr>
          <w:rFonts w:asciiTheme="minorHAnsi" w:eastAsia="Calibri" w:hAnsiTheme="minorHAnsi" w:cstheme="minorHAnsi"/>
          <w:sz w:val="22"/>
          <w:szCs w:val="22"/>
        </w:rPr>
      </w:pPr>
      <w:r w:rsidRPr="00E40BE0">
        <w:rPr>
          <w:rFonts w:asciiTheme="minorHAnsi" w:eastAsia="Calibri" w:hAnsiTheme="minorHAnsi" w:cstheme="minorHAnsi"/>
          <w:sz w:val="22"/>
          <w:szCs w:val="22"/>
        </w:rPr>
        <w:t>Each Chapter volunteer and employee has an obligation to report in accordance with this Whistleblower Policy within 90 days of discovering the violation.</w:t>
      </w:r>
    </w:p>
    <w:p w14:paraId="2DD5F687" w14:textId="5ED6DD12" w:rsidR="00115B08" w:rsidRPr="00E40BE0" w:rsidRDefault="00115B08" w:rsidP="00390332">
      <w:pPr>
        <w:pStyle w:val="PlainText"/>
        <w:tabs>
          <w:tab w:val="left" w:pos="0"/>
        </w:tabs>
        <w:jc w:val="both"/>
        <w:rPr>
          <w:rFonts w:asciiTheme="minorHAnsi" w:hAnsiTheme="minorHAnsi" w:cstheme="minorHAnsi"/>
          <w:sz w:val="22"/>
          <w:szCs w:val="22"/>
        </w:rPr>
      </w:pPr>
    </w:p>
    <w:p w14:paraId="14EC5A55" w14:textId="2706E7C0" w:rsidR="00D0151B" w:rsidRPr="00E40BE0" w:rsidRDefault="00D0151B" w:rsidP="00D0151B">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D.</w:t>
      </w:r>
      <w:r w:rsidRPr="00E40BE0">
        <w:rPr>
          <w:rFonts w:asciiTheme="minorHAnsi" w:hAnsiTheme="minorHAnsi" w:cstheme="minorHAnsi"/>
          <w:sz w:val="22"/>
          <w:szCs w:val="22"/>
        </w:rPr>
        <w:tab/>
      </w:r>
      <w:r w:rsidR="003F5727" w:rsidRPr="00E40BE0">
        <w:rPr>
          <w:rFonts w:asciiTheme="minorHAnsi" w:hAnsiTheme="minorHAnsi" w:cstheme="minorHAnsi"/>
          <w:sz w:val="22"/>
          <w:szCs w:val="22"/>
          <w:u w:val="single"/>
        </w:rPr>
        <w:t>Authority of the Audit Committee</w:t>
      </w:r>
    </w:p>
    <w:p w14:paraId="4A522DE5" w14:textId="4EF57B9A" w:rsidR="00D0151B" w:rsidRPr="00E40BE0" w:rsidRDefault="00D0151B" w:rsidP="003F5727">
      <w:pPr>
        <w:pStyle w:val="PlainText"/>
        <w:tabs>
          <w:tab w:val="left" w:pos="0"/>
        </w:tabs>
        <w:ind w:left="720"/>
        <w:jc w:val="both"/>
        <w:rPr>
          <w:rFonts w:asciiTheme="minorHAnsi" w:hAnsiTheme="minorHAnsi" w:cstheme="minorHAnsi"/>
          <w:sz w:val="22"/>
          <w:szCs w:val="22"/>
        </w:rPr>
      </w:pPr>
    </w:p>
    <w:p w14:paraId="60AA36D3" w14:textId="65328062" w:rsidR="00F22470" w:rsidRPr="00E40BE0" w:rsidRDefault="003F5727" w:rsidP="00F22470">
      <w:pPr>
        <w:autoSpaceDE w:val="0"/>
        <w:autoSpaceDN w:val="0"/>
        <w:adjustRightInd w:val="0"/>
        <w:ind w:left="720"/>
        <w:rPr>
          <w:rFonts w:asciiTheme="minorHAnsi" w:eastAsia="Calibri" w:hAnsiTheme="minorHAnsi" w:cstheme="minorHAnsi"/>
          <w:sz w:val="22"/>
          <w:szCs w:val="22"/>
        </w:rPr>
      </w:pPr>
      <w:r w:rsidRPr="00E40BE0">
        <w:rPr>
          <w:rFonts w:asciiTheme="minorHAnsi" w:eastAsia="Calibri" w:hAnsiTheme="minorHAnsi" w:cstheme="minorHAnsi"/>
          <w:sz w:val="22"/>
          <w:szCs w:val="22"/>
        </w:rPr>
        <w:t xml:space="preserve">All reported concerns will be forwarded to the Audit Committee in accordance with the procedures set forth herein. The Audit Committee shall be responsible for investigating, and making appropriate recommendations to the </w:t>
      </w:r>
      <w:r w:rsidR="00F22470" w:rsidRPr="00E40BE0">
        <w:rPr>
          <w:rFonts w:asciiTheme="minorHAnsi" w:eastAsia="Calibri" w:hAnsiTheme="minorHAnsi" w:cstheme="minorHAnsi"/>
          <w:sz w:val="22"/>
          <w:szCs w:val="22"/>
        </w:rPr>
        <w:t>Board of Directors</w:t>
      </w:r>
      <w:r w:rsidRPr="00E40BE0">
        <w:rPr>
          <w:rFonts w:asciiTheme="minorHAnsi" w:eastAsia="Calibri" w:hAnsiTheme="minorHAnsi" w:cstheme="minorHAnsi"/>
          <w:sz w:val="22"/>
          <w:szCs w:val="22"/>
        </w:rPr>
        <w:t>, with respect to all reported concerns.</w:t>
      </w:r>
    </w:p>
    <w:p w14:paraId="5D742709" w14:textId="4C0A72A3" w:rsidR="00F22470" w:rsidRPr="00E40BE0" w:rsidRDefault="00F22470" w:rsidP="00F22470">
      <w:pPr>
        <w:autoSpaceDE w:val="0"/>
        <w:autoSpaceDN w:val="0"/>
        <w:adjustRightInd w:val="0"/>
        <w:rPr>
          <w:rFonts w:asciiTheme="minorHAnsi" w:eastAsia="Calibri" w:hAnsiTheme="minorHAnsi" w:cstheme="minorHAnsi"/>
          <w:sz w:val="22"/>
          <w:szCs w:val="22"/>
        </w:rPr>
      </w:pPr>
    </w:p>
    <w:p w14:paraId="54A8C9B4" w14:textId="403CDE0D" w:rsidR="00F22470" w:rsidRPr="00E40BE0" w:rsidRDefault="00F22470" w:rsidP="00F22470">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E.</w:t>
      </w:r>
      <w:r w:rsidRPr="00E40BE0">
        <w:rPr>
          <w:rFonts w:asciiTheme="minorHAnsi" w:hAnsiTheme="minorHAnsi" w:cstheme="minorHAnsi"/>
          <w:sz w:val="22"/>
          <w:szCs w:val="22"/>
        </w:rPr>
        <w:tab/>
      </w:r>
      <w:r w:rsidR="00E16F32" w:rsidRPr="00E40BE0">
        <w:rPr>
          <w:rFonts w:asciiTheme="minorHAnsi" w:hAnsiTheme="minorHAnsi" w:cstheme="minorHAnsi"/>
          <w:sz w:val="22"/>
          <w:szCs w:val="22"/>
          <w:u w:val="single"/>
        </w:rPr>
        <w:t>No Retaliation</w:t>
      </w:r>
    </w:p>
    <w:p w14:paraId="47DCC669" w14:textId="77777777" w:rsidR="00F22470" w:rsidRPr="00E40BE0" w:rsidRDefault="00F22470" w:rsidP="00F22470">
      <w:pPr>
        <w:autoSpaceDE w:val="0"/>
        <w:autoSpaceDN w:val="0"/>
        <w:adjustRightInd w:val="0"/>
        <w:rPr>
          <w:rFonts w:asciiTheme="minorHAnsi" w:eastAsia="Calibri" w:hAnsiTheme="minorHAnsi" w:cstheme="minorHAnsi"/>
          <w:sz w:val="22"/>
          <w:szCs w:val="22"/>
        </w:rPr>
      </w:pPr>
    </w:p>
    <w:p w14:paraId="3A93AE65" w14:textId="5700AF31" w:rsidR="003F5727" w:rsidRPr="00E40BE0" w:rsidRDefault="00E16F32" w:rsidP="00E16F32">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This Whistleblower Policy is intended to encourage and enable NAIFA-</w:t>
      </w:r>
      <w:r w:rsidRPr="00E40BE0">
        <w:rPr>
          <w:rFonts w:asciiTheme="minorHAnsi" w:hAnsiTheme="minorHAnsi" w:cstheme="minorHAnsi"/>
          <w:sz w:val="22"/>
          <w:szCs w:val="22"/>
          <w:highlight w:val="yellow"/>
        </w:rPr>
        <w:t>XX</w:t>
      </w:r>
      <w:r w:rsidRPr="00E40BE0">
        <w:rPr>
          <w:rFonts w:asciiTheme="minorHAnsi" w:hAnsiTheme="minorHAnsi" w:cstheme="minorHAnsi"/>
          <w:sz w:val="22"/>
          <w:szCs w:val="22"/>
        </w:rPr>
        <w:t xml:space="preserve"> volunteers and employees to raise concerns within the Chapter for investigation and appropriate action.  With this goal in mind, no Chapter volunteer or employee who, in good faith, reports a concern shall be subject to retaliation or, in the case of staff, adverse consequences related to whistleblower complaints. Moreover, a Chapter volunteer or employee who retaliates against someone who has reported a concern in good faith is subject to discipline up to and including dismissal from the volunteer position or termination.</w:t>
      </w:r>
    </w:p>
    <w:p w14:paraId="73EBF166" w14:textId="1B71EED3" w:rsidR="00D0151B" w:rsidRPr="00E40BE0" w:rsidRDefault="00D0151B" w:rsidP="00390332">
      <w:pPr>
        <w:pStyle w:val="PlainText"/>
        <w:tabs>
          <w:tab w:val="left" w:pos="0"/>
        </w:tabs>
        <w:jc w:val="both"/>
        <w:rPr>
          <w:rFonts w:asciiTheme="minorHAnsi" w:hAnsiTheme="minorHAnsi" w:cstheme="minorHAnsi"/>
          <w:sz w:val="22"/>
          <w:szCs w:val="22"/>
        </w:rPr>
      </w:pPr>
    </w:p>
    <w:p w14:paraId="2AB86255" w14:textId="66F02DC0" w:rsidR="006C4DF3" w:rsidRPr="00E40BE0" w:rsidRDefault="006C4DF3" w:rsidP="006C4DF3">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F.</w:t>
      </w:r>
      <w:r w:rsidRPr="00E40BE0">
        <w:rPr>
          <w:rFonts w:asciiTheme="minorHAnsi" w:hAnsiTheme="minorHAnsi" w:cstheme="minorHAnsi"/>
          <w:sz w:val="22"/>
          <w:szCs w:val="22"/>
        </w:rPr>
        <w:tab/>
      </w:r>
      <w:r w:rsidR="00951867" w:rsidRPr="00E40BE0">
        <w:rPr>
          <w:rFonts w:asciiTheme="minorHAnsi" w:hAnsiTheme="minorHAnsi" w:cstheme="minorHAnsi"/>
          <w:sz w:val="22"/>
          <w:szCs w:val="22"/>
          <w:u w:val="single"/>
        </w:rPr>
        <w:t>Reporting Concerns</w:t>
      </w:r>
    </w:p>
    <w:p w14:paraId="7EA1149E" w14:textId="77777777" w:rsidR="006C4DF3" w:rsidRPr="00E40BE0" w:rsidRDefault="006C4DF3" w:rsidP="00951867">
      <w:pPr>
        <w:pStyle w:val="PlainText"/>
        <w:tabs>
          <w:tab w:val="left" w:pos="0"/>
        </w:tabs>
        <w:ind w:left="720"/>
        <w:rPr>
          <w:rFonts w:asciiTheme="minorHAnsi" w:hAnsiTheme="minorHAnsi" w:cstheme="minorHAnsi"/>
          <w:sz w:val="22"/>
          <w:szCs w:val="22"/>
        </w:rPr>
      </w:pPr>
    </w:p>
    <w:p w14:paraId="712ADA49" w14:textId="77777777" w:rsidR="00951867" w:rsidRPr="00E40BE0" w:rsidRDefault="00951867" w:rsidP="0095186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Staff should share their concerns with someone who can address them properly. In most cases their supervisor is in the best position to address a concern. However, if staff is not comfortable speaking with the supervisor about the concern, they are encouraged to speak with someone in Human Resources or anyone in management with whom they are comfortable in approaching. Supervisors and managers are required to report suspected concerns to the Chair of the Audit Committee.</w:t>
      </w:r>
    </w:p>
    <w:p w14:paraId="140504AE" w14:textId="77777777" w:rsidR="00951867" w:rsidRPr="00E40BE0" w:rsidRDefault="00951867" w:rsidP="00951867">
      <w:pPr>
        <w:pStyle w:val="PlainText"/>
        <w:tabs>
          <w:tab w:val="left" w:pos="0"/>
        </w:tabs>
        <w:ind w:left="720"/>
        <w:rPr>
          <w:rFonts w:asciiTheme="minorHAnsi" w:hAnsiTheme="minorHAnsi" w:cstheme="minorHAnsi"/>
          <w:sz w:val="22"/>
          <w:szCs w:val="22"/>
        </w:rPr>
      </w:pPr>
    </w:p>
    <w:p w14:paraId="1F9138E4" w14:textId="77777777" w:rsidR="00951867" w:rsidRPr="00E40BE0" w:rsidRDefault="00951867" w:rsidP="0095186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For suspected fraud, or when staff is not satisfied or are uncomfortable with following the open-door policy, they should contact the Chair of the Audit Committee directly.</w:t>
      </w:r>
    </w:p>
    <w:p w14:paraId="214046B7" w14:textId="77777777" w:rsidR="00951867" w:rsidRPr="00E40BE0" w:rsidRDefault="00951867" w:rsidP="00951867">
      <w:pPr>
        <w:pStyle w:val="PlainText"/>
        <w:tabs>
          <w:tab w:val="left" w:pos="0"/>
        </w:tabs>
        <w:ind w:left="720"/>
        <w:rPr>
          <w:rFonts w:asciiTheme="minorHAnsi" w:hAnsiTheme="minorHAnsi" w:cstheme="minorHAnsi"/>
          <w:sz w:val="22"/>
          <w:szCs w:val="22"/>
        </w:rPr>
      </w:pPr>
    </w:p>
    <w:p w14:paraId="7CE3C8E0" w14:textId="6FD1630B" w:rsidR="006C4DF3" w:rsidRPr="00E40BE0" w:rsidRDefault="00951867" w:rsidP="0095186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 xml:space="preserve">Directors and other volunteers should submit concerns in writing directly to the Chair of the Audit Committee.  Contact information for the Audit Committee Chair may be obtained from the </w:t>
      </w:r>
      <w:r w:rsidR="008B5633" w:rsidRPr="00E40BE0">
        <w:rPr>
          <w:rFonts w:asciiTheme="minorHAnsi" w:hAnsiTheme="minorHAnsi" w:cstheme="minorHAnsi"/>
          <w:sz w:val="22"/>
          <w:szCs w:val="22"/>
        </w:rPr>
        <w:t>Executive Director</w:t>
      </w:r>
      <w:r w:rsidRPr="00E40BE0">
        <w:rPr>
          <w:rFonts w:asciiTheme="minorHAnsi" w:hAnsiTheme="minorHAnsi" w:cstheme="minorHAnsi"/>
          <w:sz w:val="22"/>
          <w:szCs w:val="22"/>
        </w:rPr>
        <w:t>.</w:t>
      </w:r>
    </w:p>
    <w:p w14:paraId="4ED18299" w14:textId="568C0D1C" w:rsidR="008B5633" w:rsidRPr="00E40BE0" w:rsidRDefault="008B5633" w:rsidP="008B5633">
      <w:pPr>
        <w:pStyle w:val="PlainText"/>
        <w:tabs>
          <w:tab w:val="left" w:pos="0"/>
        </w:tabs>
        <w:rPr>
          <w:rFonts w:asciiTheme="minorHAnsi" w:hAnsiTheme="minorHAnsi" w:cstheme="minorHAnsi"/>
          <w:sz w:val="22"/>
          <w:szCs w:val="22"/>
        </w:rPr>
      </w:pPr>
    </w:p>
    <w:p w14:paraId="139AAB6D" w14:textId="1AE5D70C" w:rsidR="00081A8C" w:rsidRPr="00E40BE0" w:rsidRDefault="00081A8C" w:rsidP="00081A8C">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G.</w:t>
      </w:r>
      <w:r w:rsidRPr="00E40BE0">
        <w:rPr>
          <w:rFonts w:asciiTheme="minorHAnsi" w:hAnsiTheme="minorHAnsi" w:cstheme="minorHAnsi"/>
          <w:sz w:val="22"/>
          <w:szCs w:val="22"/>
        </w:rPr>
        <w:tab/>
      </w:r>
      <w:r w:rsidR="007D02D7" w:rsidRPr="00E40BE0">
        <w:rPr>
          <w:rFonts w:asciiTheme="minorHAnsi" w:hAnsiTheme="minorHAnsi" w:cstheme="minorHAnsi"/>
          <w:sz w:val="22"/>
          <w:szCs w:val="22"/>
          <w:u w:val="single"/>
        </w:rPr>
        <w:t>Handling of Reported Violations</w:t>
      </w:r>
    </w:p>
    <w:p w14:paraId="2FAF41A0" w14:textId="7E7794D6" w:rsidR="00081A8C" w:rsidRPr="00E40BE0" w:rsidRDefault="00081A8C" w:rsidP="00081A8C">
      <w:pPr>
        <w:pStyle w:val="PlainText"/>
        <w:tabs>
          <w:tab w:val="left" w:pos="0"/>
        </w:tabs>
        <w:ind w:left="720"/>
        <w:rPr>
          <w:rFonts w:asciiTheme="minorHAnsi" w:hAnsiTheme="minorHAnsi" w:cstheme="minorHAnsi"/>
          <w:sz w:val="22"/>
          <w:szCs w:val="22"/>
        </w:rPr>
      </w:pPr>
    </w:p>
    <w:p w14:paraId="00826AB4" w14:textId="77777777" w:rsidR="007D02D7" w:rsidRPr="00E40BE0" w:rsidRDefault="007D02D7" w:rsidP="007D02D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The Audit Committee shall address all reported concerns. The Chair shall notify the committee, the Chapter President, and the Chapter Executive Director of any such report within three business days.</w:t>
      </w:r>
    </w:p>
    <w:p w14:paraId="26442C2C" w14:textId="77777777" w:rsidR="007D02D7" w:rsidRPr="00E40BE0" w:rsidRDefault="007D02D7" w:rsidP="007D02D7">
      <w:pPr>
        <w:pStyle w:val="PlainText"/>
        <w:tabs>
          <w:tab w:val="left" w:pos="0"/>
        </w:tabs>
        <w:ind w:left="720"/>
        <w:rPr>
          <w:rFonts w:asciiTheme="minorHAnsi" w:hAnsiTheme="minorHAnsi" w:cstheme="minorHAnsi"/>
          <w:sz w:val="22"/>
          <w:szCs w:val="22"/>
        </w:rPr>
      </w:pPr>
    </w:p>
    <w:p w14:paraId="205F50FB" w14:textId="77777777" w:rsidR="007D02D7" w:rsidRPr="00E40BE0" w:rsidRDefault="007D02D7" w:rsidP="007D02D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The Chair will notify the sender and acknowledge receipt of the concern within five business days, if possible. It will not be possible to acknowledge receipt of anonymously submitted concerns.</w:t>
      </w:r>
    </w:p>
    <w:p w14:paraId="03B2669F" w14:textId="77777777" w:rsidR="007D02D7" w:rsidRPr="00E40BE0" w:rsidRDefault="007D02D7" w:rsidP="007D02D7">
      <w:pPr>
        <w:pStyle w:val="PlainText"/>
        <w:tabs>
          <w:tab w:val="left" w:pos="0"/>
        </w:tabs>
        <w:ind w:left="720"/>
        <w:rPr>
          <w:rFonts w:asciiTheme="minorHAnsi" w:hAnsiTheme="minorHAnsi" w:cstheme="minorHAnsi"/>
          <w:sz w:val="22"/>
          <w:szCs w:val="22"/>
        </w:rPr>
      </w:pPr>
    </w:p>
    <w:p w14:paraId="6E178AC8" w14:textId="77777777" w:rsidR="007D02D7" w:rsidRPr="00E40BE0" w:rsidRDefault="007D02D7" w:rsidP="007D02D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All reports will be investigated by the Audit Committee, and appropriate corrective action will be recommended to the Executive Committee, if warranted by the investigation. In addition, action taken must include a conclusion and/or follow-up with the complainant for complete closure of the concern.</w:t>
      </w:r>
    </w:p>
    <w:p w14:paraId="183418E0" w14:textId="77777777" w:rsidR="007D02D7" w:rsidRPr="00E40BE0" w:rsidRDefault="007D02D7" w:rsidP="007D02D7">
      <w:pPr>
        <w:pStyle w:val="PlainText"/>
        <w:tabs>
          <w:tab w:val="left" w:pos="0"/>
        </w:tabs>
        <w:ind w:left="720"/>
        <w:rPr>
          <w:rFonts w:asciiTheme="minorHAnsi" w:hAnsiTheme="minorHAnsi" w:cstheme="minorHAnsi"/>
          <w:sz w:val="22"/>
          <w:szCs w:val="22"/>
        </w:rPr>
      </w:pPr>
    </w:p>
    <w:p w14:paraId="4C95DFC2" w14:textId="0ECDA030" w:rsidR="007D02D7" w:rsidRPr="00E40BE0" w:rsidRDefault="007D02D7" w:rsidP="007D02D7">
      <w:pPr>
        <w:pStyle w:val="PlainText"/>
        <w:tabs>
          <w:tab w:val="left" w:pos="0"/>
        </w:tabs>
        <w:ind w:left="720"/>
        <w:rPr>
          <w:rFonts w:asciiTheme="minorHAnsi" w:hAnsiTheme="minorHAnsi" w:cstheme="minorHAnsi"/>
          <w:sz w:val="22"/>
          <w:szCs w:val="22"/>
        </w:rPr>
      </w:pPr>
      <w:r w:rsidRPr="00E40BE0">
        <w:rPr>
          <w:rFonts w:asciiTheme="minorHAnsi" w:hAnsiTheme="minorHAnsi" w:cstheme="minorHAnsi"/>
          <w:sz w:val="22"/>
          <w:szCs w:val="22"/>
        </w:rPr>
        <w:t>The Audit Committee has the authority to retain outside legal counsel, accountants, private investigators, or any other resource deemed necessary to conduct a full and complete investigation of the allegations.</w:t>
      </w:r>
    </w:p>
    <w:p w14:paraId="0186FBDA" w14:textId="77777777" w:rsidR="00C56817" w:rsidRPr="00E40BE0" w:rsidRDefault="00C56817" w:rsidP="007D02D7">
      <w:pPr>
        <w:pStyle w:val="PlainText"/>
        <w:tabs>
          <w:tab w:val="left" w:pos="0"/>
        </w:tabs>
        <w:ind w:left="720"/>
        <w:rPr>
          <w:rFonts w:asciiTheme="minorHAnsi" w:hAnsiTheme="minorHAnsi" w:cstheme="minorHAnsi"/>
          <w:sz w:val="22"/>
          <w:szCs w:val="22"/>
        </w:rPr>
      </w:pPr>
    </w:p>
    <w:p w14:paraId="54C61DD5" w14:textId="0D28D3BC" w:rsidR="00C56817" w:rsidRPr="00E40BE0" w:rsidRDefault="00C56817" w:rsidP="00C56817">
      <w:pPr>
        <w:pStyle w:val="PlainText"/>
        <w:tabs>
          <w:tab w:val="left" w:pos="0"/>
        </w:tabs>
        <w:jc w:val="both"/>
        <w:rPr>
          <w:rFonts w:asciiTheme="minorHAnsi" w:hAnsiTheme="minorHAnsi" w:cstheme="minorHAnsi"/>
          <w:sz w:val="22"/>
          <w:szCs w:val="22"/>
        </w:rPr>
      </w:pPr>
      <w:r w:rsidRPr="00E40BE0">
        <w:rPr>
          <w:rFonts w:asciiTheme="minorHAnsi" w:hAnsiTheme="minorHAnsi" w:cstheme="minorHAnsi"/>
          <w:sz w:val="22"/>
          <w:szCs w:val="22"/>
        </w:rPr>
        <w:t>H.</w:t>
      </w:r>
      <w:r w:rsidRPr="00E40BE0">
        <w:rPr>
          <w:rFonts w:asciiTheme="minorHAnsi" w:hAnsiTheme="minorHAnsi" w:cstheme="minorHAnsi"/>
          <w:sz w:val="22"/>
          <w:szCs w:val="22"/>
        </w:rPr>
        <w:tab/>
      </w:r>
      <w:r w:rsidR="00DC563E" w:rsidRPr="00E40BE0">
        <w:rPr>
          <w:rFonts w:asciiTheme="minorHAnsi" w:hAnsiTheme="minorHAnsi" w:cstheme="minorHAnsi"/>
          <w:sz w:val="22"/>
          <w:szCs w:val="22"/>
          <w:u w:val="single"/>
        </w:rPr>
        <w:t>Acting in Good Faith</w:t>
      </w:r>
    </w:p>
    <w:p w14:paraId="55DFC9BB" w14:textId="20EF2FA6" w:rsidR="008B5633" w:rsidRPr="00E40BE0" w:rsidRDefault="008B5633" w:rsidP="008B5633">
      <w:pPr>
        <w:pStyle w:val="PlainText"/>
        <w:tabs>
          <w:tab w:val="left" w:pos="0"/>
        </w:tabs>
        <w:rPr>
          <w:rFonts w:asciiTheme="minorHAnsi" w:hAnsiTheme="minorHAnsi" w:cstheme="minorHAnsi"/>
          <w:sz w:val="22"/>
          <w:szCs w:val="22"/>
        </w:rPr>
      </w:pPr>
    </w:p>
    <w:p w14:paraId="724F8CEA" w14:textId="77777777" w:rsidR="00DC563E" w:rsidRPr="00E40BE0" w:rsidRDefault="00DC563E" w:rsidP="00DC563E">
      <w:pPr>
        <w:autoSpaceDE w:val="0"/>
        <w:autoSpaceDN w:val="0"/>
        <w:adjustRightInd w:val="0"/>
        <w:ind w:left="720"/>
        <w:rPr>
          <w:rFonts w:asciiTheme="minorHAnsi" w:eastAsia="Calibri" w:hAnsiTheme="minorHAnsi" w:cstheme="minorHAnsi"/>
          <w:sz w:val="22"/>
          <w:szCs w:val="22"/>
        </w:rPr>
      </w:pPr>
      <w:r w:rsidRPr="00E40BE0">
        <w:rPr>
          <w:rFonts w:asciiTheme="minorHAnsi" w:eastAsia="Calibri" w:hAnsiTheme="minorHAnsi" w:cstheme="minorHAnsi"/>
          <w:sz w:val="22"/>
          <w:szCs w:val="22"/>
        </w:rPr>
        <w:t>Anyone reporting a concern must act in good faith and have reasonable grounds for believing the information reported indicates a violation of the law or constitutes an inappropriate accounting or financial practice. The act of making allegations that prove to be unsubstantiated, and that prove to have been made maliciously, recklessly, or with the foreknowledge that the allegations are false, will be viewed as a serious disciplinary offence and may result in discipline, up to and including dismissal from the volunteer position or termination. Such conduct may also give rise to other actions, including civil lawsuits.</w:t>
      </w:r>
    </w:p>
    <w:p w14:paraId="1303B0D3" w14:textId="77777777" w:rsidR="00081A8C" w:rsidRPr="00E40BE0" w:rsidRDefault="00081A8C" w:rsidP="008B5633">
      <w:pPr>
        <w:pStyle w:val="PlainText"/>
        <w:tabs>
          <w:tab w:val="left" w:pos="0"/>
        </w:tabs>
        <w:rPr>
          <w:rFonts w:asciiTheme="minorHAnsi" w:hAnsiTheme="minorHAnsi" w:cstheme="minorHAnsi"/>
          <w:sz w:val="22"/>
          <w:szCs w:val="22"/>
        </w:rPr>
      </w:pPr>
    </w:p>
    <w:sectPr w:rsidR="00081A8C" w:rsidRPr="00E40BE0" w:rsidSect="00D1697E">
      <w:headerReference w:type="even" r:id="rId10"/>
      <w:headerReference w:type="default" r:id="rId11"/>
      <w:footerReference w:type="even" r:id="rId12"/>
      <w:footerReference w:type="default" r:id="rId13"/>
      <w:headerReference w:type="first" r:id="rId14"/>
      <w:footerReference w:type="first" r:id="rId15"/>
      <w:pgSz w:w="12240" w:h="15840"/>
      <w:pgMar w:top="1440" w:right="1319" w:bottom="1440" w:left="1319" w:header="720" w:footer="2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FC9A" w14:textId="77777777" w:rsidR="00660806" w:rsidRDefault="00660806">
      <w:r>
        <w:separator/>
      </w:r>
    </w:p>
  </w:endnote>
  <w:endnote w:type="continuationSeparator" w:id="0">
    <w:p w14:paraId="63AF4847" w14:textId="77777777" w:rsidR="00660806" w:rsidRDefault="0066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986" w14:textId="77777777" w:rsidR="00B53F06" w:rsidRDefault="00B53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737DD" w14:textId="77777777" w:rsidR="00B53F06" w:rsidRDefault="00B5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2EF6" w14:textId="77777777" w:rsidR="00B53F06" w:rsidRDefault="00B53F06" w:rsidP="00474124">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8D1E" w14:textId="5358E465" w:rsidR="00D1697E" w:rsidRDefault="00275B40">
    <w:pPr>
      <w:pStyle w:val="Footer"/>
    </w:pPr>
    <w:r>
      <w:rPr>
        <w:noProof/>
        <w:lang w:val="en-IN" w:eastAsia="en-IN"/>
      </w:rPr>
      <w:drawing>
        <wp:inline distT="0" distB="0" distL="0" distR="0" wp14:anchorId="143EC85E" wp14:editId="1C666E48">
          <wp:extent cx="6097270" cy="790580"/>
          <wp:effectExtent l="0" t="0" r="0" b="9525"/>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97270" cy="7905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8D36" w14:textId="77777777" w:rsidR="00660806" w:rsidRDefault="00660806">
      <w:r>
        <w:separator/>
      </w:r>
    </w:p>
  </w:footnote>
  <w:footnote w:type="continuationSeparator" w:id="0">
    <w:p w14:paraId="2B3CEACF" w14:textId="77777777" w:rsidR="00660806" w:rsidRDefault="0066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771F" w14:textId="77777777" w:rsidR="00275B40" w:rsidRDefault="00275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A5D6" w14:textId="77777777" w:rsidR="000410D0" w:rsidRDefault="000410D0" w:rsidP="000410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CAF" w14:textId="2E61826E" w:rsidR="000410D0" w:rsidRDefault="0094732B" w:rsidP="0094732B">
    <w:pPr>
      <w:pStyle w:val="Header"/>
    </w:pPr>
    <w:r>
      <w:rPr>
        <w:noProof/>
      </w:rPr>
      <w:drawing>
        <wp:inline distT="0" distB="0" distL="0" distR="0" wp14:anchorId="64997EBE" wp14:editId="6FA01DE1">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E79"/>
    <w:multiLevelType w:val="singleLevel"/>
    <w:tmpl w:val="A928ED8A"/>
    <w:lvl w:ilvl="0">
      <w:start w:val="1"/>
      <w:numFmt w:val="decimal"/>
      <w:lvlText w:val="%1."/>
      <w:lvlJc w:val="left"/>
      <w:pPr>
        <w:tabs>
          <w:tab w:val="num" w:pos="1080"/>
        </w:tabs>
        <w:ind w:left="1080" w:hanging="360"/>
      </w:pPr>
      <w:rPr>
        <w:rFonts w:hint="default"/>
      </w:rPr>
    </w:lvl>
  </w:abstractNum>
  <w:abstractNum w:abstractNumId="1" w15:restartNumberingAfterBreak="0">
    <w:nsid w:val="3FD168FF"/>
    <w:multiLevelType w:val="singleLevel"/>
    <w:tmpl w:val="A928ED8A"/>
    <w:lvl w:ilvl="0">
      <w:start w:val="1"/>
      <w:numFmt w:val="decimal"/>
      <w:lvlText w:val="%1."/>
      <w:lvlJc w:val="left"/>
      <w:pPr>
        <w:tabs>
          <w:tab w:val="num" w:pos="1080"/>
        </w:tabs>
        <w:ind w:left="1080" w:hanging="360"/>
      </w:pPr>
      <w:rPr>
        <w:rFonts w:hint="default"/>
      </w:rPr>
    </w:lvl>
  </w:abstractNum>
  <w:abstractNum w:abstractNumId="2" w15:restartNumberingAfterBreak="0">
    <w:nsid w:val="678A78A4"/>
    <w:multiLevelType w:val="hybridMultilevel"/>
    <w:tmpl w:val="39B648B4"/>
    <w:lvl w:ilvl="0" w:tplc="25A0AEDE">
      <w:start w:val="1"/>
      <w:numFmt w:val="decimal"/>
      <w:lvlText w:val="%1."/>
      <w:lvlJc w:val="left"/>
      <w:pPr>
        <w:tabs>
          <w:tab w:val="num" w:pos="720"/>
        </w:tabs>
        <w:ind w:left="720" w:hanging="360"/>
      </w:pPr>
    </w:lvl>
    <w:lvl w:ilvl="1" w:tplc="032C188E" w:tentative="1">
      <w:start w:val="1"/>
      <w:numFmt w:val="lowerLetter"/>
      <w:lvlText w:val="%2."/>
      <w:lvlJc w:val="left"/>
      <w:pPr>
        <w:tabs>
          <w:tab w:val="num" w:pos="1440"/>
        </w:tabs>
        <w:ind w:left="1440" w:hanging="360"/>
      </w:pPr>
    </w:lvl>
    <w:lvl w:ilvl="2" w:tplc="4EF68B00" w:tentative="1">
      <w:start w:val="1"/>
      <w:numFmt w:val="lowerRoman"/>
      <w:lvlText w:val="%3."/>
      <w:lvlJc w:val="right"/>
      <w:pPr>
        <w:tabs>
          <w:tab w:val="num" w:pos="2160"/>
        </w:tabs>
        <w:ind w:left="2160" w:hanging="180"/>
      </w:pPr>
    </w:lvl>
    <w:lvl w:ilvl="3" w:tplc="0FE66688" w:tentative="1">
      <w:start w:val="1"/>
      <w:numFmt w:val="decimal"/>
      <w:lvlText w:val="%4."/>
      <w:lvlJc w:val="left"/>
      <w:pPr>
        <w:tabs>
          <w:tab w:val="num" w:pos="2880"/>
        </w:tabs>
        <w:ind w:left="2880" w:hanging="360"/>
      </w:pPr>
    </w:lvl>
    <w:lvl w:ilvl="4" w:tplc="026406FE" w:tentative="1">
      <w:start w:val="1"/>
      <w:numFmt w:val="lowerLetter"/>
      <w:lvlText w:val="%5."/>
      <w:lvlJc w:val="left"/>
      <w:pPr>
        <w:tabs>
          <w:tab w:val="num" w:pos="3600"/>
        </w:tabs>
        <w:ind w:left="3600" w:hanging="360"/>
      </w:pPr>
    </w:lvl>
    <w:lvl w:ilvl="5" w:tplc="B9F2250E" w:tentative="1">
      <w:start w:val="1"/>
      <w:numFmt w:val="lowerRoman"/>
      <w:lvlText w:val="%6."/>
      <w:lvlJc w:val="right"/>
      <w:pPr>
        <w:tabs>
          <w:tab w:val="num" w:pos="4320"/>
        </w:tabs>
        <w:ind w:left="4320" w:hanging="180"/>
      </w:pPr>
    </w:lvl>
    <w:lvl w:ilvl="6" w:tplc="0DFCDD68" w:tentative="1">
      <w:start w:val="1"/>
      <w:numFmt w:val="decimal"/>
      <w:lvlText w:val="%7."/>
      <w:lvlJc w:val="left"/>
      <w:pPr>
        <w:tabs>
          <w:tab w:val="num" w:pos="5040"/>
        </w:tabs>
        <w:ind w:left="5040" w:hanging="360"/>
      </w:pPr>
    </w:lvl>
    <w:lvl w:ilvl="7" w:tplc="70248984" w:tentative="1">
      <w:start w:val="1"/>
      <w:numFmt w:val="lowerLetter"/>
      <w:lvlText w:val="%8."/>
      <w:lvlJc w:val="left"/>
      <w:pPr>
        <w:tabs>
          <w:tab w:val="num" w:pos="5760"/>
        </w:tabs>
        <w:ind w:left="5760" w:hanging="360"/>
      </w:pPr>
    </w:lvl>
    <w:lvl w:ilvl="8" w:tplc="F1D0429E" w:tentative="1">
      <w:start w:val="1"/>
      <w:numFmt w:val="lowerRoman"/>
      <w:lvlText w:val="%9."/>
      <w:lvlJc w:val="right"/>
      <w:pPr>
        <w:tabs>
          <w:tab w:val="num" w:pos="6480"/>
        </w:tabs>
        <w:ind w:left="6480" w:hanging="180"/>
      </w:pPr>
    </w:lvl>
  </w:abstractNum>
  <w:num w:numId="1" w16cid:durableId="786971292">
    <w:abstractNumId w:val="2"/>
  </w:num>
  <w:num w:numId="2" w16cid:durableId="1740403075">
    <w:abstractNumId w:val="1"/>
  </w:num>
  <w:num w:numId="3" w16cid:durableId="77529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7F"/>
    <w:rsid w:val="00006A79"/>
    <w:rsid w:val="000410D0"/>
    <w:rsid w:val="00061D66"/>
    <w:rsid w:val="00067730"/>
    <w:rsid w:val="00081A8C"/>
    <w:rsid w:val="00090568"/>
    <w:rsid w:val="000C0C80"/>
    <w:rsid w:val="000C17FF"/>
    <w:rsid w:val="000C62B5"/>
    <w:rsid w:val="000E5CA0"/>
    <w:rsid w:val="000F6D20"/>
    <w:rsid w:val="00115B08"/>
    <w:rsid w:val="001A0012"/>
    <w:rsid w:val="001C50EC"/>
    <w:rsid w:val="001D35ED"/>
    <w:rsid w:val="00204330"/>
    <w:rsid w:val="002075EF"/>
    <w:rsid w:val="0024024A"/>
    <w:rsid w:val="00275B40"/>
    <w:rsid w:val="002A2F7F"/>
    <w:rsid w:val="003042E1"/>
    <w:rsid w:val="00330CCC"/>
    <w:rsid w:val="00390332"/>
    <w:rsid w:val="003C125D"/>
    <w:rsid w:val="003C6D99"/>
    <w:rsid w:val="003E6B3A"/>
    <w:rsid w:val="003E759C"/>
    <w:rsid w:val="003F1447"/>
    <w:rsid w:val="003F5727"/>
    <w:rsid w:val="00462DF6"/>
    <w:rsid w:val="00474124"/>
    <w:rsid w:val="004A5920"/>
    <w:rsid w:val="004C0CAE"/>
    <w:rsid w:val="004E2C5F"/>
    <w:rsid w:val="004F5943"/>
    <w:rsid w:val="0054760A"/>
    <w:rsid w:val="005D1AEC"/>
    <w:rsid w:val="006129B9"/>
    <w:rsid w:val="00660806"/>
    <w:rsid w:val="006A3587"/>
    <w:rsid w:val="006B13D7"/>
    <w:rsid w:val="006B4041"/>
    <w:rsid w:val="006C4DF3"/>
    <w:rsid w:val="006E1898"/>
    <w:rsid w:val="0071255F"/>
    <w:rsid w:val="00772478"/>
    <w:rsid w:val="00775C9D"/>
    <w:rsid w:val="007C5F23"/>
    <w:rsid w:val="007D02D7"/>
    <w:rsid w:val="00826F31"/>
    <w:rsid w:val="0086425A"/>
    <w:rsid w:val="00894390"/>
    <w:rsid w:val="008B5633"/>
    <w:rsid w:val="008C2360"/>
    <w:rsid w:val="008E0842"/>
    <w:rsid w:val="008F18CB"/>
    <w:rsid w:val="008F44F4"/>
    <w:rsid w:val="0094732B"/>
    <w:rsid w:val="00951867"/>
    <w:rsid w:val="0095563D"/>
    <w:rsid w:val="0096217F"/>
    <w:rsid w:val="00A35B92"/>
    <w:rsid w:val="00B53F06"/>
    <w:rsid w:val="00B702E5"/>
    <w:rsid w:val="00B852EC"/>
    <w:rsid w:val="00C071E9"/>
    <w:rsid w:val="00C11BCD"/>
    <w:rsid w:val="00C56817"/>
    <w:rsid w:val="00D0151B"/>
    <w:rsid w:val="00D14921"/>
    <w:rsid w:val="00D1697E"/>
    <w:rsid w:val="00D32A19"/>
    <w:rsid w:val="00D7408B"/>
    <w:rsid w:val="00DC563E"/>
    <w:rsid w:val="00DD23C4"/>
    <w:rsid w:val="00DD703E"/>
    <w:rsid w:val="00E16F32"/>
    <w:rsid w:val="00E40BE0"/>
    <w:rsid w:val="00E7049E"/>
    <w:rsid w:val="00E935E9"/>
    <w:rsid w:val="00E96082"/>
    <w:rsid w:val="00EA0BDB"/>
    <w:rsid w:val="00EA7188"/>
    <w:rsid w:val="00EB15C6"/>
    <w:rsid w:val="00EB4BD1"/>
    <w:rsid w:val="00EC2C24"/>
    <w:rsid w:val="00F166AE"/>
    <w:rsid w:val="00F17B1E"/>
    <w:rsid w:val="00F2196A"/>
    <w:rsid w:val="00F22470"/>
    <w:rsid w:val="00F77895"/>
    <w:rsid w:val="00F9643F"/>
    <w:rsid w:val="00FE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37358"/>
  <w15:chartTrackingRefBased/>
  <w15:docId w15:val="{AF59B8A4-B913-442E-A2D9-8EE422E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ill Sans MT" w:hAnsi="Gill Sans MT"/>
      <w:sz w:val="20"/>
    </w:rPr>
  </w:style>
  <w:style w:type="paragraph" w:customStyle="1" w:styleId="EmployeeHandbook">
    <w:name w:val="Employee Handbook"/>
    <w:basedOn w:val="Heading1"/>
    <w:pPr>
      <w:tabs>
        <w:tab w:val="left" w:pos="-1080"/>
        <w:tab w:val="left" w:pos="-720"/>
        <w:tab w:val="left" w:pos="540"/>
        <w:tab w:val="left" w:pos="900"/>
        <w:tab w:val="left" w:pos="1260"/>
        <w:tab w:val="left" w:pos="1620"/>
        <w:tab w:val="left" w:pos="1980"/>
        <w:tab w:val="left" w:pos="2340"/>
      </w:tabs>
    </w:pPr>
    <w:rPr>
      <w:rFonts w:ascii="Gill Sans MT" w:hAnsi="Gill Sans MT"/>
      <w:b w:val="0"/>
      <w:sz w:val="30"/>
    </w:rPr>
  </w:style>
  <w:style w:type="paragraph" w:customStyle="1" w:styleId="Style1">
    <w:name w:val="Style1"/>
    <w:basedOn w:val="Heading1"/>
    <w:autoRedefine/>
    <w:pPr>
      <w:spacing w:after="120"/>
    </w:pPr>
  </w:style>
  <w:style w:type="paragraph" w:customStyle="1" w:styleId="Text">
    <w:name w:val="Text"/>
    <w:autoRedefine/>
    <w:pPr>
      <w:spacing w:before="180"/>
    </w:pPr>
    <w:rPr>
      <w:rFonts w:ascii="Gill Sans MT" w:hAnsi="Gill Sans MT"/>
      <w:noProof/>
      <w:color w:val="000000"/>
      <w:sz w:val="24"/>
    </w:rPr>
  </w:style>
  <w:style w:type="paragraph" w:customStyle="1" w:styleId="MEIUserManual">
    <w:name w:val="MEI User Manual"/>
    <w:basedOn w:val="Normal"/>
    <w:autoRedefine/>
  </w:style>
  <w:style w:type="paragraph" w:styleId="PlainText">
    <w:name w:val="Plain Text"/>
    <w:basedOn w:val="Normal"/>
    <w:rPr>
      <w:rFonts w:ascii="Courier New" w:hAnsi="Courier New" w:cs="Courier New"/>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sid w:val="0094732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21E3A831-2883-4743-8FB9-3C79E21C2A28}"/>
</file>

<file path=customXml/itemProps2.xml><?xml version="1.0" encoding="utf-8"?>
<ds:datastoreItem xmlns:ds="http://schemas.openxmlformats.org/officeDocument/2006/customXml" ds:itemID="{C8842CF7-A9DC-4AC8-8D73-741DB225D487}">
  <ds:schemaRefs>
    <ds:schemaRef ds:uri="http://schemas.microsoft.com/sharepoint/v3/contenttype/forms"/>
  </ds:schemaRefs>
</ds:datastoreItem>
</file>

<file path=customXml/itemProps3.xml><?xml version="1.0" encoding="utf-8"?>
<ds:datastoreItem xmlns:ds="http://schemas.openxmlformats.org/officeDocument/2006/customXml" ds:itemID="{C381BC61-5B29-4E96-A03C-A6EBBAA1FBCA}">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CONFLICT OF INTEREST POLICY AND DISCLOSURE FORM</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AND DISCLOSURE FORM</dc:title>
  <dc:subject/>
  <dc:creator>Michael Gerber</dc:creator>
  <cp:keywords/>
  <dc:description/>
  <cp:lastModifiedBy>Justi Folladori</cp:lastModifiedBy>
  <cp:revision>6</cp:revision>
  <cp:lastPrinted>2008-07-29T19:35:00Z</cp:lastPrinted>
  <dcterms:created xsi:type="dcterms:W3CDTF">2020-11-09T23:46:00Z</dcterms:created>
  <dcterms:modified xsi:type="dcterms:W3CDTF">2023-07-14T13:46:00Z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MediaServiceImageTags">
    <vt:lpwstr/>
  </property>
</Properties>
</file>