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1E77" w14:textId="100CD32C" w:rsidR="00E001AD" w:rsidRPr="00260FDD" w:rsidRDefault="001037DA" w:rsidP="00260FDD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br/>
      </w:r>
      <w:r w:rsidR="00E001AD" w:rsidRPr="00260FDD">
        <w:rPr>
          <w:rFonts w:eastAsia="Times New Roman" w:cstheme="minorHAnsi"/>
          <w:b/>
          <w:bCs/>
          <w:sz w:val="28"/>
          <w:szCs w:val="28"/>
        </w:rPr>
        <w:t>Duties, Potential Liabilities and Protections for Nonprofit Board Members</w:t>
      </w:r>
    </w:p>
    <w:p w14:paraId="7A77B1AE" w14:textId="77777777" w:rsidR="00E001AD" w:rsidRPr="00260FDD" w:rsidRDefault="00E001AD" w:rsidP="00E001AD">
      <w:pPr>
        <w:spacing w:after="0" w:line="240" w:lineRule="auto"/>
        <w:jc w:val="both"/>
        <w:rPr>
          <w:rFonts w:eastAsia="Times New Roman" w:cstheme="minorHAnsi"/>
        </w:rPr>
      </w:pPr>
    </w:p>
    <w:p w14:paraId="5CE85792" w14:textId="25DAE304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  <w:r w:rsidRPr="00260FDD">
        <w:rPr>
          <w:rFonts w:eastAsia="Times New Roman" w:cstheme="minorHAnsi"/>
        </w:rPr>
        <w:t>This memo provides a general outline of the duties, potential liabilities and protections for 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Pr="00260FDD">
        <w:rPr>
          <w:rFonts w:eastAsia="Times New Roman" w:cstheme="minorHAnsi"/>
        </w:rPr>
        <w:t xml:space="preserve"> Board members as trustees of a nonprofit corporation.</w:t>
      </w:r>
    </w:p>
    <w:p w14:paraId="58746384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041A92E0" w14:textId="77777777" w:rsidR="00E001AD" w:rsidRPr="001037DA" w:rsidRDefault="00E001AD" w:rsidP="001037D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Role of the Board</w:t>
      </w:r>
    </w:p>
    <w:p w14:paraId="0A815FA3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203EB5E7" w14:textId="067B2995" w:rsidR="00E001AD" w:rsidRPr="00260FDD" w:rsidRDefault="00E001AD" w:rsidP="005E518E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The </w:t>
      </w:r>
      <w:r w:rsidR="00BB3B53" w:rsidRPr="00260FDD">
        <w:rPr>
          <w:rFonts w:eastAsia="Times New Roman" w:cstheme="minorHAnsi"/>
        </w:rPr>
        <w:t>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Pr="00260FDD">
        <w:rPr>
          <w:rFonts w:eastAsia="Times New Roman" w:cstheme="minorHAnsi"/>
        </w:rPr>
        <w:t xml:space="preserve"> Board defines the policies and has full administrative authority in all </w:t>
      </w:r>
      <w:r w:rsidR="00BB3B53" w:rsidRPr="00260FDD">
        <w:rPr>
          <w:rFonts w:eastAsia="Times New Roman" w:cstheme="minorHAnsi"/>
        </w:rPr>
        <w:t>NAIFA</w:t>
      </w:r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[Insert Chapter]</w:t>
      </w:r>
      <w:r w:rsidRPr="00260FDD">
        <w:rPr>
          <w:rFonts w:eastAsia="Times New Roman" w:cstheme="minorHAnsi"/>
        </w:rPr>
        <w:t xml:space="preserve"> matters.</w:t>
      </w:r>
    </w:p>
    <w:p w14:paraId="20D50F8C" w14:textId="77777777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</w:p>
    <w:p w14:paraId="28C24348" w14:textId="6AD6126C" w:rsidR="00E001AD" w:rsidRPr="00260FDD" w:rsidRDefault="00E001AD" w:rsidP="005E518E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The Board’s focus in managing </w:t>
      </w:r>
      <w:r w:rsidR="00BB3B53" w:rsidRPr="00260FDD">
        <w:rPr>
          <w:rFonts w:eastAsia="Times New Roman" w:cstheme="minorHAnsi"/>
        </w:rPr>
        <w:t>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="00BB3B53">
        <w:rPr>
          <w:rFonts w:eastAsia="Times New Roman" w:cstheme="minorHAnsi"/>
        </w:rPr>
        <w:t>’s</w:t>
      </w:r>
      <w:r w:rsidRPr="00260FDD">
        <w:rPr>
          <w:rFonts w:eastAsia="Times New Roman" w:cstheme="minorHAnsi"/>
        </w:rPr>
        <w:t xml:space="preserve"> affairs should be on planning and oversight for the association’s long-term success, including (a) establishing major policies; (b) reviewing association finances and (c) ensuring </w:t>
      </w:r>
      <w:r w:rsidR="00BB3B53" w:rsidRPr="00260FDD">
        <w:rPr>
          <w:rFonts w:eastAsia="Times New Roman" w:cstheme="minorHAnsi"/>
        </w:rPr>
        <w:t>NAIFA</w:t>
      </w:r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[Insert Chapter]</w:t>
      </w:r>
      <w:r w:rsidRPr="00260FDD">
        <w:rPr>
          <w:rFonts w:eastAsia="Times New Roman" w:cstheme="minorHAnsi"/>
        </w:rPr>
        <w:t xml:space="preserve"> is operated in a manner consistent with its mission.</w:t>
      </w:r>
    </w:p>
    <w:p w14:paraId="3F9BD754" w14:textId="77777777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</w:p>
    <w:p w14:paraId="67E5B0BB" w14:textId="4AF29318" w:rsidR="001037DA" w:rsidRDefault="00E001AD" w:rsidP="001037DA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The Board should not micro-manage the day-to-day affairs of the association.  Implementation of Board policy is the role of staff.</w:t>
      </w:r>
      <w:r w:rsidR="001037DA">
        <w:rPr>
          <w:rFonts w:eastAsia="Times New Roman" w:cstheme="minorHAnsi"/>
        </w:rPr>
        <w:br/>
      </w:r>
    </w:p>
    <w:p w14:paraId="22983A11" w14:textId="032559CC" w:rsidR="00E001AD" w:rsidRPr="001037DA" w:rsidRDefault="00E001AD" w:rsidP="001037D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Fiduciary Duties of Nonprofit Board Members</w:t>
      </w:r>
    </w:p>
    <w:p w14:paraId="44F85E3D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07442F9E" w14:textId="2C43D65B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Board members owe three primary fiduciary duties to </w:t>
      </w:r>
      <w:r w:rsidR="00BB3B53" w:rsidRPr="00260FDD">
        <w:rPr>
          <w:rFonts w:eastAsia="Times New Roman" w:cstheme="minorHAnsi"/>
        </w:rPr>
        <w:t>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Pr="00260FDD">
        <w:rPr>
          <w:rFonts w:eastAsia="Times New Roman" w:cstheme="minorHAnsi"/>
        </w:rPr>
        <w:t xml:space="preserve"> and its members: (a) the duty of care; (b) the duty of loyalty and (c) the duty of obedience.</w:t>
      </w:r>
      <w:r w:rsidR="00C558A4" w:rsidRPr="00260FDD">
        <w:rPr>
          <w:rFonts w:eastAsia="Times New Roman" w:cstheme="minorHAnsi"/>
        </w:rPr>
        <w:t xml:space="preserve"> </w:t>
      </w:r>
      <w:r w:rsidRPr="00260FDD">
        <w:rPr>
          <w:rFonts w:eastAsia="Times New Roman" w:cstheme="minorHAnsi"/>
        </w:rPr>
        <w:t xml:space="preserve">A fiduciary is one in a position of trust and confidence for another, such as a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member’s position of trust and confidence for the association and its members.</w:t>
      </w:r>
    </w:p>
    <w:p w14:paraId="5DE371A0" w14:textId="77777777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</w:p>
    <w:p w14:paraId="798AEDEC" w14:textId="77777777" w:rsidR="00E001AD" w:rsidRPr="001037DA" w:rsidRDefault="00E001AD" w:rsidP="001037DA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The Duty of Care</w:t>
      </w:r>
    </w:p>
    <w:p w14:paraId="61D67F07" w14:textId="77777777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</w:p>
    <w:p w14:paraId="7CD418F7" w14:textId="77777777" w:rsidR="00E001AD" w:rsidRPr="00260FDD" w:rsidRDefault="00E001AD" w:rsidP="005E518E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The duty of care is an obligation to act in good faith with the same diligence and skill that an ordinarily prudent person would use in similar circumstances.</w:t>
      </w:r>
    </w:p>
    <w:p w14:paraId="6FCEAB5F" w14:textId="77777777" w:rsidR="00E001AD" w:rsidRPr="00260FDD" w:rsidRDefault="00E001AD" w:rsidP="005E518E">
      <w:pPr>
        <w:spacing w:after="0" w:line="240" w:lineRule="auto"/>
        <w:ind w:left="1080"/>
        <w:rPr>
          <w:rFonts w:eastAsia="Times New Roman" w:cstheme="minorHAnsi"/>
        </w:rPr>
      </w:pPr>
    </w:p>
    <w:p w14:paraId="66914E3A" w14:textId="7B0DCFF9" w:rsidR="00E001AD" w:rsidRPr="00260FDD" w:rsidRDefault="00E001AD" w:rsidP="005E518E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Generally speaking, the duty of care is met by (1) attendance at and participation in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meetings; (2) monitoring those who exercise delegated authority (e.g., staff, committees) to ensure they are acting properly; (3) being informed of association activities (e.g., by reviewing materials) and (4) making reasoned decisions.</w:t>
      </w:r>
    </w:p>
    <w:p w14:paraId="25B5161C" w14:textId="77777777" w:rsidR="00783FF6" w:rsidRPr="00260FDD" w:rsidRDefault="00783FF6" w:rsidP="005E518E">
      <w:pPr>
        <w:spacing w:after="0" w:line="240" w:lineRule="auto"/>
        <w:rPr>
          <w:rFonts w:eastAsia="Times New Roman" w:cstheme="minorHAnsi"/>
        </w:rPr>
      </w:pPr>
    </w:p>
    <w:p w14:paraId="2F1E03B8" w14:textId="2E4749A2" w:rsidR="00E001AD" w:rsidRPr="00260FDD" w:rsidRDefault="00E001AD" w:rsidP="005E518E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In order to meet the duty of care, </w:t>
      </w:r>
      <w:r w:rsidR="00592D8D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members have a general right of equal access to information regarding the operations of the association, including access to the association’s books and records.</w:t>
      </w:r>
    </w:p>
    <w:p w14:paraId="2D8171A0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59F0E16A" w14:textId="2812C72F" w:rsidR="00E001AD" w:rsidRPr="00260FDD" w:rsidRDefault="00E001AD" w:rsidP="005E518E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In satisfying the duty of care,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members are permitted to rely on reports and information provided by others, including officers, other </w:t>
      </w:r>
      <w:r w:rsidR="00592D8D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members, staff and outside consultants. Such reliance must be reasonable. Reliance is not reasonable if the </w:t>
      </w:r>
      <w:r w:rsidRPr="00260FDD">
        <w:rPr>
          <w:rFonts w:eastAsia="Times New Roman" w:cstheme="minorHAnsi"/>
        </w:rPr>
        <w:lastRenderedPageBreak/>
        <w:t xml:space="preserve">information has obvious deficiencies or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has reason to doubt the source of the information.</w:t>
      </w:r>
    </w:p>
    <w:p w14:paraId="090474A1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0AFB0528" w14:textId="6A0FA3D2" w:rsidR="00E001AD" w:rsidRPr="00260FDD" w:rsidRDefault="00E001AD" w:rsidP="005E518E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Board functions include</w:t>
      </w:r>
      <w:r w:rsidR="00BB3B53">
        <w:rPr>
          <w:rFonts w:eastAsia="Times New Roman" w:cstheme="minorHAnsi"/>
        </w:rPr>
        <w:t xml:space="preserve"> </w:t>
      </w:r>
      <w:r w:rsidRPr="00260FDD">
        <w:rPr>
          <w:rFonts w:eastAsia="Times New Roman" w:cstheme="minorHAnsi"/>
        </w:rPr>
        <w:t xml:space="preserve">oversight of </w:t>
      </w:r>
      <w:r w:rsidR="00BB3B53" w:rsidRPr="00260FDD">
        <w:rPr>
          <w:rFonts w:eastAsia="Times New Roman" w:cstheme="minorHAnsi"/>
        </w:rPr>
        <w:t>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="00BB3B53">
        <w:rPr>
          <w:rFonts w:eastAsia="Times New Roman" w:cstheme="minorHAnsi"/>
        </w:rPr>
        <w:t>’s</w:t>
      </w:r>
      <w:r w:rsidRPr="00260FDD">
        <w:rPr>
          <w:rFonts w:eastAsia="Times New Roman" w:cstheme="minorHAnsi"/>
        </w:rPr>
        <w:t xml:space="preserve"> financial affairs and approval of the association budget</w:t>
      </w:r>
      <w:r w:rsidR="00BB3B53">
        <w:rPr>
          <w:rFonts w:eastAsia="Times New Roman" w:cstheme="minorHAnsi"/>
        </w:rPr>
        <w:t>.</w:t>
      </w:r>
    </w:p>
    <w:p w14:paraId="5B0179A4" w14:textId="77777777" w:rsidR="00E001AD" w:rsidRPr="00260FDD" w:rsidRDefault="00E001AD" w:rsidP="005E518E">
      <w:pPr>
        <w:spacing w:after="0" w:line="240" w:lineRule="auto"/>
        <w:ind w:left="1080"/>
        <w:rPr>
          <w:rFonts w:eastAsia="Times New Roman" w:cstheme="minorHAnsi"/>
        </w:rPr>
      </w:pPr>
    </w:p>
    <w:p w14:paraId="62A46590" w14:textId="77777777" w:rsidR="00E001AD" w:rsidRPr="001037DA" w:rsidRDefault="00E001AD" w:rsidP="001037DA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The Duty of Loyalty</w:t>
      </w:r>
    </w:p>
    <w:p w14:paraId="57D92F1C" w14:textId="77777777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</w:p>
    <w:p w14:paraId="41F1314B" w14:textId="77777777" w:rsidR="00E001AD" w:rsidRPr="00260FDD" w:rsidRDefault="00E001AD" w:rsidP="005E518E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The duty of loyalty is an obligation to act solely in the best interest of the association.</w:t>
      </w:r>
    </w:p>
    <w:p w14:paraId="5CFCE834" w14:textId="77777777" w:rsidR="00E001AD" w:rsidRPr="00260FDD" w:rsidRDefault="00E001AD" w:rsidP="005E518E">
      <w:pPr>
        <w:spacing w:after="0" w:line="240" w:lineRule="auto"/>
        <w:ind w:left="1080"/>
        <w:rPr>
          <w:rFonts w:eastAsia="Times New Roman" w:cstheme="minorHAnsi"/>
        </w:rPr>
      </w:pPr>
    </w:p>
    <w:p w14:paraId="6D650A8C" w14:textId="77777777" w:rsidR="00E001AD" w:rsidRPr="00260FDD" w:rsidRDefault="00E001AD" w:rsidP="005E518E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Board members should exercise their powers to advance the interests of the association, not their own personal interests or the interests of others.</w:t>
      </w:r>
    </w:p>
    <w:p w14:paraId="5852A022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74D61B2E" w14:textId="771961C0" w:rsidR="00E001AD" w:rsidRPr="00260FDD" w:rsidRDefault="00E001AD" w:rsidP="005E518E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The duty of loyalty is violated if a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 uses their position to promote a transaction between </w:t>
      </w:r>
      <w:r w:rsidR="00BB3B53" w:rsidRPr="00260FDD">
        <w:rPr>
          <w:rFonts w:eastAsia="Times New Roman" w:cstheme="minorHAnsi"/>
        </w:rPr>
        <w:t>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Pr="00260FDD">
        <w:rPr>
          <w:rFonts w:eastAsia="Times New Roman" w:cstheme="minorHAnsi"/>
        </w:rPr>
        <w:t xml:space="preserve"> and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member, or someone with whom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 has an interest, and the transaction is not fair to </w:t>
      </w:r>
      <w:r w:rsidR="00BB3B53" w:rsidRPr="00260FDD">
        <w:rPr>
          <w:rFonts w:eastAsia="Times New Roman" w:cstheme="minorHAnsi"/>
        </w:rPr>
        <w:t>NAIFA</w:t>
      </w:r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[Insert Chapter]</w:t>
      </w:r>
      <w:r w:rsidRPr="00260FDD">
        <w:rPr>
          <w:rFonts w:eastAsia="Times New Roman" w:cstheme="minorHAnsi"/>
        </w:rPr>
        <w:t>.</w:t>
      </w:r>
    </w:p>
    <w:p w14:paraId="54DDA3F4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55E7A560" w14:textId="7498F5C1" w:rsidR="00E001AD" w:rsidRPr="00260FDD" w:rsidRDefault="00E001AD" w:rsidP="005E518E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In the event of an apparent conflict of interest: (1) the conflict should be disclosed to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oard; (2) the conflicted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member should not participate in decisions on the matter and (3) the resulting transaction must be fair to the association.</w:t>
      </w:r>
    </w:p>
    <w:p w14:paraId="32C036A2" w14:textId="77777777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</w:p>
    <w:p w14:paraId="12FCA7C4" w14:textId="0DCF8E20" w:rsidR="00E001AD" w:rsidRPr="00260FDD" w:rsidRDefault="00E001AD" w:rsidP="005E518E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The duty of loyalty is also violated if a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 does not maintain the confidentiality of non-public, proprietary and sensitive information about the association or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deliberations, which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 obtained in his or her capacity as a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member.</w:t>
      </w:r>
    </w:p>
    <w:p w14:paraId="01BCC58D" w14:textId="77777777" w:rsidR="00E001AD" w:rsidRPr="001037DA" w:rsidRDefault="00E001AD" w:rsidP="005E518E">
      <w:pPr>
        <w:spacing w:after="0" w:line="240" w:lineRule="auto"/>
        <w:rPr>
          <w:rFonts w:eastAsia="Times New Roman" w:cstheme="minorHAnsi"/>
          <w:b/>
          <w:bCs/>
        </w:rPr>
      </w:pPr>
    </w:p>
    <w:p w14:paraId="41F3604E" w14:textId="77777777" w:rsidR="00E001AD" w:rsidRPr="001037DA" w:rsidRDefault="00E001AD" w:rsidP="001037DA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The Duty of Obedience</w:t>
      </w:r>
    </w:p>
    <w:p w14:paraId="30C25F04" w14:textId="77777777" w:rsidR="00E001AD" w:rsidRPr="00260FDD" w:rsidRDefault="00E001AD" w:rsidP="005E518E">
      <w:pPr>
        <w:spacing w:after="0" w:line="240" w:lineRule="auto"/>
        <w:ind w:left="720"/>
        <w:rPr>
          <w:rFonts w:eastAsia="Times New Roman" w:cstheme="minorHAnsi"/>
        </w:rPr>
      </w:pPr>
    </w:p>
    <w:p w14:paraId="2BC3DC4B" w14:textId="4837DE37" w:rsidR="00E001AD" w:rsidRPr="00260FDD" w:rsidRDefault="00E001AD" w:rsidP="005E518E">
      <w:pPr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The duty of obedience refers to the obligation to comply with </w:t>
      </w:r>
      <w:r w:rsidR="00BB3B53" w:rsidRPr="00260FDD">
        <w:rPr>
          <w:rFonts w:eastAsia="Times New Roman" w:cstheme="minorHAnsi"/>
        </w:rPr>
        <w:t>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Pr="00260FDD">
        <w:rPr>
          <w:rFonts w:eastAsia="Times New Roman" w:cstheme="minorHAnsi"/>
        </w:rPr>
        <w:t>’s governing documents (e.g., bylaws), mission and applicable law.</w:t>
      </w:r>
    </w:p>
    <w:p w14:paraId="13E6F9CC" w14:textId="77777777" w:rsidR="00E001AD" w:rsidRPr="00260FDD" w:rsidRDefault="00E001AD" w:rsidP="005E518E">
      <w:pPr>
        <w:spacing w:after="0" w:line="240" w:lineRule="auto"/>
        <w:ind w:left="1080"/>
        <w:rPr>
          <w:rFonts w:eastAsia="Times New Roman" w:cstheme="minorHAnsi"/>
        </w:rPr>
      </w:pPr>
    </w:p>
    <w:p w14:paraId="1A035BE8" w14:textId="72697603" w:rsidR="00783FF6" w:rsidRPr="001037DA" w:rsidRDefault="00E001AD" w:rsidP="005E518E">
      <w:pPr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Board actions are invalid if they violate the bylaws, articles of incorporation or applicable law.</w:t>
      </w:r>
    </w:p>
    <w:p w14:paraId="0DE98FFA" w14:textId="77777777" w:rsidR="00783FF6" w:rsidRPr="00260FDD" w:rsidRDefault="00783FF6" w:rsidP="005E518E">
      <w:pPr>
        <w:spacing w:after="0" w:line="240" w:lineRule="auto"/>
        <w:rPr>
          <w:rFonts w:eastAsia="Times New Roman" w:cstheme="minorHAnsi"/>
        </w:rPr>
      </w:pPr>
    </w:p>
    <w:p w14:paraId="5445223E" w14:textId="77777777" w:rsidR="00E001AD" w:rsidRPr="001037DA" w:rsidRDefault="00E001AD" w:rsidP="001037D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Potential Liability for Nonprofit Board Members</w:t>
      </w:r>
    </w:p>
    <w:p w14:paraId="7B3F75BE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4C94F654" w14:textId="77777777" w:rsidR="00E001AD" w:rsidRPr="001037DA" w:rsidRDefault="00E001AD" w:rsidP="001037DA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Potential Claims Against Nonprofit Board Members</w:t>
      </w:r>
    </w:p>
    <w:p w14:paraId="09BADB8C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608533F8" w14:textId="25660D7C" w:rsidR="00E001AD" w:rsidRPr="00260FDD" w:rsidRDefault="00E001AD" w:rsidP="005E518E">
      <w:pPr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Claims against nonprofit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members can potentially arise in many areas, including:</w:t>
      </w:r>
    </w:p>
    <w:p w14:paraId="71278E14" w14:textId="77777777" w:rsidR="00E001AD" w:rsidRPr="00260FDD" w:rsidRDefault="00E001AD" w:rsidP="005E518E">
      <w:pPr>
        <w:spacing w:after="0" w:line="240" w:lineRule="auto"/>
        <w:ind w:left="1440"/>
        <w:rPr>
          <w:rFonts w:eastAsia="Times New Roman" w:cstheme="minorHAnsi"/>
        </w:rPr>
      </w:pPr>
    </w:p>
    <w:p w14:paraId="15827F11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negligence in association management</w:t>
      </w:r>
    </w:p>
    <w:p w14:paraId="4A5174EF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defamation</w:t>
      </w:r>
    </w:p>
    <w:p w14:paraId="31FFD2C9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violation of association bylaws or articles of incorporation</w:t>
      </w:r>
    </w:p>
    <w:p w14:paraId="3E463A51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unfair treatment of association members </w:t>
      </w:r>
    </w:p>
    <w:p w14:paraId="27381257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negligent oversight of association investments</w:t>
      </w:r>
    </w:p>
    <w:p w14:paraId="2D245013" w14:textId="0331D47C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wrongful discharge of staff (where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is involved in dismissal) </w:t>
      </w:r>
    </w:p>
    <w:p w14:paraId="6520B2C8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lastRenderedPageBreak/>
        <w:t>breach of duty in oversight of an employee pension plan</w:t>
      </w:r>
    </w:p>
    <w:p w14:paraId="3277803E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antitrust violations</w:t>
      </w:r>
    </w:p>
    <w:p w14:paraId="2D7F9F58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unfair insider transactions</w:t>
      </w:r>
    </w:p>
    <w:p w14:paraId="1410BE20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improper use of corporate opportunities</w:t>
      </w:r>
    </w:p>
    <w:p w14:paraId="615A8C38" w14:textId="77777777" w:rsidR="00E001AD" w:rsidRPr="00260FDD" w:rsidRDefault="00E001AD" w:rsidP="005E518E">
      <w:pPr>
        <w:numPr>
          <w:ilvl w:val="0"/>
          <w:numId w:val="8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waste of corporate assets</w:t>
      </w:r>
    </w:p>
    <w:p w14:paraId="69C21BD4" w14:textId="77777777" w:rsidR="00E001AD" w:rsidRPr="00260FDD" w:rsidRDefault="00E001AD" w:rsidP="005E518E">
      <w:pPr>
        <w:spacing w:after="0" w:line="240" w:lineRule="auto"/>
        <w:ind w:left="1440"/>
        <w:rPr>
          <w:rFonts w:eastAsia="Times New Roman" w:cstheme="minorHAnsi"/>
        </w:rPr>
      </w:pPr>
    </w:p>
    <w:p w14:paraId="56B28BE6" w14:textId="1F924C99" w:rsidR="00E001AD" w:rsidRPr="00260FDD" w:rsidRDefault="00E001AD" w:rsidP="005E518E">
      <w:pPr>
        <w:spacing w:after="0" w:line="240" w:lineRule="auto"/>
        <w:ind w:left="144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In addition to personal liability, a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 member’s conduct may result in liability for the association where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member acts, or is perceived as acting, on behalf of the association.</w:t>
      </w:r>
    </w:p>
    <w:p w14:paraId="1AADE860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1CB85AFB" w14:textId="77777777" w:rsidR="00E001AD" w:rsidRPr="001037DA" w:rsidRDefault="00E001AD" w:rsidP="005E518E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</w:rPr>
      </w:pPr>
      <w:r w:rsidRPr="001037DA">
        <w:rPr>
          <w:rFonts w:eastAsia="Times New Roman" w:cstheme="minorHAnsi"/>
          <w:b/>
          <w:bCs/>
        </w:rPr>
        <w:t>The Business Judgment Rule</w:t>
      </w:r>
    </w:p>
    <w:p w14:paraId="67871A2F" w14:textId="77777777" w:rsidR="00E001AD" w:rsidRPr="00260FDD" w:rsidRDefault="00E001AD" w:rsidP="005E518E">
      <w:pPr>
        <w:spacing w:after="0" w:line="240" w:lineRule="auto"/>
        <w:ind w:left="1440"/>
        <w:rPr>
          <w:rFonts w:eastAsia="Times New Roman" w:cstheme="minorHAnsi"/>
        </w:rPr>
      </w:pPr>
    </w:p>
    <w:p w14:paraId="45047675" w14:textId="2254CCBB" w:rsidR="00E001AD" w:rsidRPr="00260FDD" w:rsidRDefault="00E001AD" w:rsidP="005E518E">
      <w:pPr>
        <w:numPr>
          <w:ilvl w:val="0"/>
          <w:numId w:val="9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Board members are not strictly liable for every fault of the association. Generally, there is no liability without fault on the part of a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member in the form of a breach of duty.</w:t>
      </w:r>
    </w:p>
    <w:p w14:paraId="57414A3B" w14:textId="77777777" w:rsidR="00E001AD" w:rsidRPr="00260FDD" w:rsidRDefault="00E001AD" w:rsidP="005E518E">
      <w:pPr>
        <w:spacing w:after="0" w:line="240" w:lineRule="auto"/>
        <w:ind w:left="1440"/>
        <w:rPr>
          <w:rFonts w:eastAsia="Times New Roman" w:cstheme="minorHAnsi"/>
        </w:rPr>
      </w:pPr>
    </w:p>
    <w:p w14:paraId="7EC9B091" w14:textId="72AC2FB4" w:rsidR="00E001AD" w:rsidRPr="00260FDD" w:rsidRDefault="00E001AD" w:rsidP="005E518E">
      <w:pPr>
        <w:numPr>
          <w:ilvl w:val="0"/>
          <w:numId w:val="9"/>
        </w:numPr>
        <w:tabs>
          <w:tab w:val="clear" w:pos="360"/>
          <w:tab w:val="num" w:pos="1800"/>
        </w:tabs>
        <w:spacing w:after="0" w:line="240" w:lineRule="auto"/>
        <w:ind w:left="180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The “business judgment rule” provides that courts will not second-guess a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 xml:space="preserve">oard’s decision that is taken in conformity with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oard’s fiduciary duties, even if the decision is later found to be wrong.</w:t>
      </w:r>
      <w:r w:rsidR="00463C58" w:rsidRPr="00260FDD">
        <w:rPr>
          <w:rFonts w:eastAsia="Times New Roman" w:cstheme="minorHAnsi"/>
        </w:rPr>
        <w:t xml:space="preserve"> </w:t>
      </w:r>
      <w:r w:rsidRPr="00260FDD">
        <w:rPr>
          <w:rFonts w:eastAsia="Times New Roman" w:cstheme="minorHAnsi"/>
        </w:rPr>
        <w:t xml:space="preserve">The protection of the business judgment rule depends on the </w:t>
      </w:r>
      <w:r w:rsidR="007638CC" w:rsidRPr="00260FDD">
        <w:rPr>
          <w:rFonts w:eastAsia="Times New Roman" w:cstheme="minorHAnsi"/>
        </w:rPr>
        <w:t>B</w:t>
      </w:r>
      <w:r w:rsidRPr="00260FDD">
        <w:rPr>
          <w:rFonts w:eastAsia="Times New Roman" w:cstheme="minorHAnsi"/>
        </w:rPr>
        <w:t>oard acting in good faith and with reasonable diligence.</w:t>
      </w:r>
    </w:p>
    <w:p w14:paraId="1A87A38A" w14:textId="77777777" w:rsidR="00E001AD" w:rsidRPr="00006ACF" w:rsidRDefault="00E001AD" w:rsidP="005E518E">
      <w:pPr>
        <w:spacing w:after="0" w:line="240" w:lineRule="auto"/>
        <w:rPr>
          <w:rFonts w:eastAsia="Times New Roman" w:cstheme="minorHAnsi"/>
          <w:b/>
          <w:bCs/>
        </w:rPr>
      </w:pPr>
    </w:p>
    <w:p w14:paraId="60999828" w14:textId="77777777" w:rsidR="00E001AD" w:rsidRPr="00006ACF" w:rsidRDefault="00E001AD" w:rsidP="005E518E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</w:rPr>
      </w:pPr>
      <w:r w:rsidRPr="00006ACF">
        <w:rPr>
          <w:rFonts w:eastAsia="Times New Roman" w:cstheme="minorHAnsi"/>
          <w:b/>
          <w:bCs/>
        </w:rPr>
        <w:t>Director and Officer (D&amp;O) Liability Insurance and Indemnification</w:t>
      </w:r>
    </w:p>
    <w:p w14:paraId="7F6F2B1E" w14:textId="77777777" w:rsidR="00E001AD" w:rsidRPr="00260FDD" w:rsidRDefault="00E001AD" w:rsidP="005E518E">
      <w:pPr>
        <w:spacing w:after="0" w:line="240" w:lineRule="auto"/>
        <w:ind w:left="1440"/>
        <w:rPr>
          <w:rFonts w:eastAsia="Times New Roman" w:cstheme="minorHAnsi"/>
        </w:rPr>
      </w:pPr>
    </w:p>
    <w:p w14:paraId="66D61003" w14:textId="1289590E" w:rsidR="00E001AD" w:rsidRPr="00260FDD" w:rsidRDefault="00BB3B53" w:rsidP="005E518E">
      <w:pPr>
        <w:numPr>
          <w:ilvl w:val="0"/>
          <w:numId w:val="10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NAIFA</w:t>
      </w:r>
      <w:proofErr w:type="gramStart"/>
      <w:r w:rsidRPr="00BB3B53">
        <w:rPr>
          <w:rFonts w:eastAsia="Times New Roman" w:cstheme="minorHAnsi"/>
        </w:rPr>
        <w:t>-</w:t>
      </w:r>
      <w:r w:rsidRPr="00BB3B53">
        <w:rPr>
          <w:rFonts w:eastAsia="Times New Roman" w:cstheme="minorHAnsi"/>
          <w:highlight w:val="yellow"/>
        </w:rPr>
        <w:t>[</w:t>
      </w:r>
      <w:proofErr w:type="gramEnd"/>
      <w:r w:rsidRPr="00BB3B53">
        <w:rPr>
          <w:rFonts w:eastAsia="Times New Roman" w:cstheme="minorHAnsi"/>
          <w:highlight w:val="yellow"/>
        </w:rPr>
        <w:t>Insert Chapter]</w:t>
      </w:r>
      <w:r w:rsidR="00E001AD" w:rsidRPr="00260FDD">
        <w:rPr>
          <w:rFonts w:eastAsia="Times New Roman" w:cstheme="minorHAnsi"/>
        </w:rPr>
        <w:t xml:space="preserve"> maintains insurance coverage for its </w:t>
      </w:r>
      <w:r w:rsidR="007638CC" w:rsidRPr="00260FDD">
        <w:rPr>
          <w:rFonts w:eastAsia="Times New Roman" w:cstheme="minorHAnsi"/>
        </w:rPr>
        <w:t>B</w:t>
      </w:r>
      <w:r w:rsidR="00E001AD" w:rsidRPr="00260FDD">
        <w:rPr>
          <w:rFonts w:eastAsia="Times New Roman" w:cstheme="minorHAnsi"/>
        </w:rPr>
        <w:t xml:space="preserve">oard members’ potential liability in connection with their service on the </w:t>
      </w:r>
      <w:r w:rsidR="007638CC" w:rsidRPr="00260FDD">
        <w:rPr>
          <w:rFonts w:eastAsia="Times New Roman" w:cstheme="minorHAnsi"/>
        </w:rPr>
        <w:t>B</w:t>
      </w:r>
      <w:r w:rsidR="00E001AD" w:rsidRPr="00260FDD">
        <w:rPr>
          <w:rFonts w:eastAsia="Times New Roman" w:cstheme="minorHAnsi"/>
        </w:rPr>
        <w:t>oard. This includes D&amp;O coverage, commercial general liability coverage and employment practices liability coverage.</w:t>
      </w:r>
    </w:p>
    <w:p w14:paraId="3D313581" w14:textId="77777777" w:rsidR="00E001AD" w:rsidRPr="00260FDD" w:rsidRDefault="00E001AD" w:rsidP="005E518E">
      <w:pPr>
        <w:spacing w:after="0" w:line="240" w:lineRule="auto"/>
        <w:ind w:left="1800"/>
        <w:rPr>
          <w:rFonts w:eastAsia="Times New Roman" w:cstheme="minorHAnsi"/>
        </w:rPr>
      </w:pPr>
    </w:p>
    <w:p w14:paraId="23DE7DB7" w14:textId="77777777" w:rsidR="00E001AD" w:rsidRPr="00260FDD" w:rsidRDefault="00E001AD" w:rsidP="005E518E">
      <w:pPr>
        <w:numPr>
          <w:ilvl w:val="0"/>
          <w:numId w:val="10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D&amp;O coverage will not apply in the event of willful dishonest, fraudulent, criminal or unlawful acts, or acts resulting in improper personal profit.</w:t>
      </w:r>
    </w:p>
    <w:p w14:paraId="2989A5E1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20AD7EC2" w14:textId="3E818A54" w:rsidR="00E001AD" w:rsidRPr="00260FDD" w:rsidRDefault="00E001AD" w:rsidP="005E518E">
      <w:pPr>
        <w:numPr>
          <w:ilvl w:val="0"/>
          <w:numId w:val="10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 xml:space="preserve">It is critical that any potential claim be brought to the attention of </w:t>
      </w:r>
      <w:r w:rsidR="00BB3B53" w:rsidRPr="00260FDD">
        <w:rPr>
          <w:rFonts w:eastAsia="Times New Roman" w:cstheme="minorHAnsi"/>
        </w:rPr>
        <w:t>NAIFA</w:t>
      </w:r>
      <w:proofErr w:type="gramStart"/>
      <w:r w:rsidR="00BB3B53" w:rsidRPr="00BB3B53">
        <w:rPr>
          <w:rFonts w:eastAsia="Times New Roman" w:cstheme="minorHAnsi"/>
        </w:rPr>
        <w:t>-</w:t>
      </w:r>
      <w:r w:rsidR="00BB3B53" w:rsidRPr="00BB3B53">
        <w:rPr>
          <w:rFonts w:eastAsia="Times New Roman" w:cstheme="minorHAnsi"/>
          <w:highlight w:val="yellow"/>
        </w:rPr>
        <w:t>[</w:t>
      </w:r>
      <w:proofErr w:type="gramEnd"/>
      <w:r w:rsidR="00BB3B53" w:rsidRPr="00BB3B53">
        <w:rPr>
          <w:rFonts w:eastAsia="Times New Roman" w:cstheme="minorHAnsi"/>
          <w:highlight w:val="yellow"/>
        </w:rPr>
        <w:t>Insert Chapter]</w:t>
      </w:r>
      <w:r w:rsidRPr="00260FDD">
        <w:rPr>
          <w:rFonts w:eastAsia="Times New Roman" w:cstheme="minorHAnsi"/>
        </w:rPr>
        <w:t xml:space="preserve">’s </w:t>
      </w:r>
      <w:r w:rsidR="00BB3B53">
        <w:rPr>
          <w:rFonts w:eastAsia="Times New Roman" w:cstheme="minorHAnsi"/>
        </w:rPr>
        <w:t>Executive Director</w:t>
      </w:r>
      <w:r w:rsidRPr="00260FDD">
        <w:rPr>
          <w:rFonts w:eastAsia="Times New Roman" w:cstheme="minorHAnsi"/>
        </w:rPr>
        <w:t xml:space="preserve"> at the earliest</w:t>
      </w:r>
      <w:r w:rsidR="00906E55" w:rsidRPr="00260FDD">
        <w:rPr>
          <w:rFonts w:eastAsia="Times New Roman" w:cstheme="minorHAnsi"/>
        </w:rPr>
        <w:t xml:space="preserve"> possible</w:t>
      </w:r>
      <w:r w:rsidRPr="00260FDD">
        <w:rPr>
          <w:rFonts w:eastAsia="Times New Roman" w:cstheme="minorHAnsi"/>
        </w:rPr>
        <w:t xml:space="preserve"> time so that carriers may be notified; otherwise</w:t>
      </w:r>
      <w:r w:rsidR="00B763DD" w:rsidRPr="00260FDD">
        <w:rPr>
          <w:rFonts w:eastAsia="Times New Roman" w:cstheme="minorHAnsi"/>
        </w:rPr>
        <w:t>,</w:t>
      </w:r>
      <w:r w:rsidRPr="00260FDD">
        <w:rPr>
          <w:rFonts w:eastAsia="Times New Roman" w:cstheme="minorHAnsi"/>
        </w:rPr>
        <w:t xml:space="preserve"> coverage may be waived.</w:t>
      </w:r>
    </w:p>
    <w:p w14:paraId="3AE4A009" w14:textId="77777777" w:rsidR="00E001AD" w:rsidRPr="00260FDD" w:rsidRDefault="00E001AD" w:rsidP="005E518E">
      <w:pPr>
        <w:spacing w:after="0" w:line="240" w:lineRule="auto"/>
        <w:ind w:left="1800"/>
        <w:rPr>
          <w:rFonts w:eastAsia="Times New Roman" w:cstheme="minorHAnsi"/>
        </w:rPr>
      </w:pPr>
    </w:p>
    <w:p w14:paraId="6FDC3EA7" w14:textId="7CF8A738" w:rsidR="00E001AD" w:rsidRPr="00260FDD" w:rsidRDefault="00BB3B53" w:rsidP="005E518E">
      <w:pPr>
        <w:numPr>
          <w:ilvl w:val="0"/>
          <w:numId w:val="10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NAIFA</w:t>
      </w:r>
      <w:proofErr w:type="gramStart"/>
      <w:r w:rsidRPr="00BB3B53">
        <w:rPr>
          <w:rFonts w:eastAsia="Times New Roman" w:cstheme="minorHAnsi"/>
        </w:rPr>
        <w:t>-</w:t>
      </w:r>
      <w:r w:rsidRPr="00BB3B53">
        <w:rPr>
          <w:rFonts w:eastAsia="Times New Roman" w:cstheme="minorHAnsi"/>
          <w:highlight w:val="yellow"/>
        </w:rPr>
        <w:t>[</w:t>
      </w:r>
      <w:proofErr w:type="gramEnd"/>
      <w:r w:rsidRPr="00BB3B53">
        <w:rPr>
          <w:rFonts w:eastAsia="Times New Roman" w:cstheme="minorHAnsi"/>
          <w:highlight w:val="yellow"/>
        </w:rPr>
        <w:t>Insert Chapter]</w:t>
      </w:r>
      <w:r w:rsidR="00E001AD" w:rsidRPr="00260FDD">
        <w:rPr>
          <w:rFonts w:eastAsia="Times New Roman" w:cstheme="minorHAnsi"/>
        </w:rPr>
        <w:t xml:space="preserve"> has an official stated policy that it will indemnify </w:t>
      </w:r>
      <w:r w:rsidR="007638CC" w:rsidRPr="00260FDD">
        <w:rPr>
          <w:rFonts w:eastAsia="Times New Roman" w:cstheme="minorHAnsi"/>
        </w:rPr>
        <w:t>B</w:t>
      </w:r>
      <w:r w:rsidR="00E001AD" w:rsidRPr="00260FDD">
        <w:rPr>
          <w:rFonts w:eastAsia="Times New Roman" w:cstheme="minorHAnsi"/>
        </w:rPr>
        <w:t xml:space="preserve">oard members, committee members and staff, to the extent there is no protection from an applicable </w:t>
      </w:r>
      <w:r w:rsidRPr="00260FDD">
        <w:rPr>
          <w:rFonts w:eastAsia="Times New Roman" w:cstheme="minorHAnsi"/>
        </w:rPr>
        <w:t>NAIFA</w:t>
      </w:r>
      <w:r w:rsidRPr="00BB3B53">
        <w:rPr>
          <w:rFonts w:eastAsia="Times New Roman" w:cstheme="minorHAnsi"/>
        </w:rPr>
        <w:t>-</w:t>
      </w:r>
      <w:r w:rsidRPr="00BB3B53">
        <w:rPr>
          <w:rFonts w:eastAsia="Times New Roman" w:cstheme="minorHAnsi"/>
          <w:highlight w:val="yellow"/>
        </w:rPr>
        <w:t>[Insert Chapter]</w:t>
      </w:r>
      <w:r w:rsidR="00E001AD" w:rsidRPr="00260FDD">
        <w:rPr>
          <w:rFonts w:eastAsia="Times New Roman" w:cstheme="minorHAnsi"/>
        </w:rPr>
        <w:t xml:space="preserve"> insurance policy, for expenses and liabilities in connection with any proceeding the person is involved in by virtue of their position with </w:t>
      </w:r>
      <w:r w:rsidRPr="00260FDD">
        <w:rPr>
          <w:rFonts w:eastAsia="Times New Roman" w:cstheme="minorHAnsi"/>
        </w:rPr>
        <w:t>NAIFA</w:t>
      </w:r>
      <w:r w:rsidRPr="00BB3B53">
        <w:rPr>
          <w:rFonts w:eastAsia="Times New Roman" w:cstheme="minorHAnsi"/>
        </w:rPr>
        <w:t>-</w:t>
      </w:r>
      <w:r w:rsidRPr="00BB3B53">
        <w:rPr>
          <w:rFonts w:eastAsia="Times New Roman" w:cstheme="minorHAnsi"/>
          <w:highlight w:val="yellow"/>
        </w:rPr>
        <w:t>[Insert Chapter]</w:t>
      </w:r>
      <w:r w:rsidR="00E001AD" w:rsidRPr="00260FDD">
        <w:rPr>
          <w:rFonts w:eastAsia="Times New Roman" w:cstheme="minorHAnsi"/>
        </w:rPr>
        <w:t>.</w:t>
      </w:r>
    </w:p>
    <w:p w14:paraId="6F5C6E26" w14:textId="77777777" w:rsidR="00E001AD" w:rsidRPr="00260FDD" w:rsidRDefault="00E001AD" w:rsidP="005E518E">
      <w:pPr>
        <w:spacing w:after="0" w:line="240" w:lineRule="auto"/>
        <w:rPr>
          <w:rFonts w:eastAsia="Times New Roman" w:cstheme="minorHAnsi"/>
        </w:rPr>
      </w:pPr>
    </w:p>
    <w:p w14:paraId="47FA8DC8" w14:textId="3CB28BA3" w:rsidR="00E001AD" w:rsidRDefault="00BB3B53" w:rsidP="005E518E">
      <w:pPr>
        <w:numPr>
          <w:ilvl w:val="0"/>
          <w:numId w:val="10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NAIFA</w:t>
      </w:r>
      <w:proofErr w:type="gramStart"/>
      <w:r w:rsidRPr="00BB3B53">
        <w:rPr>
          <w:rFonts w:eastAsia="Times New Roman" w:cstheme="minorHAnsi"/>
        </w:rPr>
        <w:t>-</w:t>
      </w:r>
      <w:r w:rsidRPr="00BB3B53">
        <w:rPr>
          <w:rFonts w:eastAsia="Times New Roman" w:cstheme="minorHAnsi"/>
          <w:highlight w:val="yellow"/>
        </w:rPr>
        <w:t>[</w:t>
      </w:r>
      <w:proofErr w:type="gramEnd"/>
      <w:r w:rsidRPr="00BB3B53">
        <w:rPr>
          <w:rFonts w:eastAsia="Times New Roman" w:cstheme="minorHAnsi"/>
          <w:highlight w:val="yellow"/>
        </w:rPr>
        <w:t>Insert Chapter]</w:t>
      </w:r>
      <w:r w:rsidR="00E001AD" w:rsidRPr="00260FDD">
        <w:rPr>
          <w:rFonts w:eastAsia="Times New Roman" w:cstheme="minorHAnsi"/>
        </w:rPr>
        <w:t xml:space="preserve"> will not indemnify a </w:t>
      </w:r>
      <w:r w:rsidR="007638CC" w:rsidRPr="00260FDD">
        <w:rPr>
          <w:rFonts w:eastAsia="Times New Roman" w:cstheme="minorHAnsi"/>
        </w:rPr>
        <w:t>B</w:t>
      </w:r>
      <w:r w:rsidR="00E001AD" w:rsidRPr="00260FDD">
        <w:rPr>
          <w:rFonts w:eastAsia="Times New Roman" w:cstheme="minorHAnsi"/>
        </w:rPr>
        <w:t>oard member, committee member or employee who engages in willful misconduct. An indemnification policy is only as good as the nonprofit’s ability to fund it.</w:t>
      </w:r>
    </w:p>
    <w:p w14:paraId="614CAFD7" w14:textId="77777777" w:rsidR="002D5BCB" w:rsidRDefault="002D5BCB" w:rsidP="002D5BCB">
      <w:pPr>
        <w:pStyle w:val="ListParagraph"/>
        <w:rPr>
          <w:rFonts w:eastAsia="Times New Roman" w:cstheme="minorHAnsi"/>
        </w:rPr>
      </w:pPr>
    </w:p>
    <w:p w14:paraId="0C799607" w14:textId="77777777" w:rsidR="002D5BCB" w:rsidRPr="00260FDD" w:rsidRDefault="002D5BCB" w:rsidP="002D5BCB">
      <w:pPr>
        <w:spacing w:after="0" w:line="240" w:lineRule="auto"/>
        <w:ind w:left="2160"/>
        <w:rPr>
          <w:rFonts w:eastAsia="Times New Roman" w:cstheme="minorHAnsi"/>
        </w:rPr>
      </w:pPr>
    </w:p>
    <w:p w14:paraId="721E13BC" w14:textId="77777777" w:rsidR="00E001AD" w:rsidRPr="00260FDD" w:rsidRDefault="00E001AD" w:rsidP="005E518E">
      <w:pPr>
        <w:spacing w:after="0" w:line="240" w:lineRule="auto"/>
        <w:ind w:left="1800"/>
        <w:rPr>
          <w:rFonts w:eastAsia="Times New Roman" w:cstheme="minorHAnsi"/>
        </w:rPr>
      </w:pPr>
    </w:p>
    <w:p w14:paraId="0EEAD691" w14:textId="5602A83E" w:rsidR="00E001AD" w:rsidRPr="00AE25AB" w:rsidRDefault="00E001AD" w:rsidP="00AE25AB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</w:rPr>
      </w:pPr>
      <w:r w:rsidRPr="00006ACF">
        <w:rPr>
          <w:rFonts w:eastAsia="Times New Roman" w:cstheme="minorHAnsi"/>
          <w:b/>
          <w:bCs/>
        </w:rPr>
        <w:t>Volunteer Protection Statutes</w:t>
      </w:r>
      <w:r w:rsidR="002D5BCB">
        <w:rPr>
          <w:rFonts w:eastAsia="Times New Roman" w:cstheme="minorHAnsi"/>
          <w:b/>
          <w:bCs/>
        </w:rPr>
        <w:br/>
      </w:r>
    </w:p>
    <w:p w14:paraId="62362362" w14:textId="27E3FD89" w:rsidR="00E001AD" w:rsidRPr="00260FDD" w:rsidRDefault="00E001AD" w:rsidP="005E518E">
      <w:pPr>
        <w:numPr>
          <w:ilvl w:val="0"/>
          <w:numId w:val="11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NAIFA is a D.C. nonprofit corporation and D.C. law grants immunity from civil liability to nonprofit volunteers under certain circumstances. The law does not exempt a nonprofit from liability for a volunteer’s conduct</w:t>
      </w:r>
      <w:r w:rsidR="00C25387" w:rsidRPr="00260FDD">
        <w:rPr>
          <w:rFonts w:eastAsia="Times New Roman" w:cstheme="minorHAnsi"/>
        </w:rPr>
        <w:t>; however, it</w:t>
      </w:r>
      <w:r w:rsidRPr="00260FDD">
        <w:rPr>
          <w:rFonts w:eastAsia="Times New Roman" w:cstheme="minorHAnsi"/>
        </w:rPr>
        <w:t xml:space="preserve"> limits a nonprofit’s liability to the amount of its insurance coverage.</w:t>
      </w:r>
    </w:p>
    <w:p w14:paraId="51F854F8" w14:textId="77777777" w:rsidR="00E001AD" w:rsidRPr="00260FDD" w:rsidRDefault="00E001AD" w:rsidP="005E518E">
      <w:pPr>
        <w:spacing w:after="0" w:line="240" w:lineRule="auto"/>
        <w:ind w:left="1800"/>
        <w:rPr>
          <w:rFonts w:eastAsia="Times New Roman" w:cstheme="minorHAnsi"/>
        </w:rPr>
      </w:pPr>
    </w:p>
    <w:p w14:paraId="3EE09D4A" w14:textId="449514C0" w:rsidR="00E001AD" w:rsidRPr="00260FDD" w:rsidRDefault="00E001AD" w:rsidP="005E518E">
      <w:pPr>
        <w:numPr>
          <w:ilvl w:val="0"/>
          <w:numId w:val="11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The D.C. law only gives immunity from liability, not from defending against lawsuits. The law only applies to nonprofits that maintain D&amp;O insurance.</w:t>
      </w:r>
    </w:p>
    <w:p w14:paraId="49FEE8A3" w14:textId="77777777" w:rsidR="00E001AD" w:rsidRPr="00260FDD" w:rsidRDefault="00E001AD" w:rsidP="005E518E">
      <w:pPr>
        <w:spacing w:after="0" w:line="240" w:lineRule="auto"/>
        <w:ind w:left="1800"/>
        <w:rPr>
          <w:rFonts w:eastAsia="Times New Roman" w:cstheme="minorHAnsi"/>
        </w:rPr>
      </w:pPr>
    </w:p>
    <w:p w14:paraId="532F9D5D" w14:textId="2B8ED1DC" w:rsidR="00E772E5" w:rsidRPr="00260FDD" w:rsidRDefault="00E001AD" w:rsidP="005E518E">
      <w:pPr>
        <w:numPr>
          <w:ilvl w:val="0"/>
          <w:numId w:val="11"/>
        </w:numPr>
        <w:tabs>
          <w:tab w:val="clear" w:pos="360"/>
          <w:tab w:val="num" w:pos="2160"/>
        </w:tabs>
        <w:spacing w:after="0" w:line="240" w:lineRule="auto"/>
        <w:ind w:left="2160"/>
        <w:rPr>
          <w:rFonts w:eastAsia="Times New Roman" w:cstheme="minorHAnsi"/>
        </w:rPr>
      </w:pPr>
      <w:r w:rsidRPr="00260FDD">
        <w:rPr>
          <w:rFonts w:eastAsia="Times New Roman" w:cstheme="minorHAnsi"/>
        </w:rPr>
        <w:t>The D.C. law does not apply to willful misconduct, crimes, improper conflict transactions or bad faith acts beyond the scope of a nonprofit’s authority. Application of the D.C. law in all other states is unclear. There is also a federal volunteer protection law, but it is unclear if it applies to nonprofits other than charities.</w:t>
      </w:r>
    </w:p>
    <w:sectPr w:rsidR="00E772E5" w:rsidRPr="00260FDD" w:rsidSect="00E772E5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249B" w14:textId="77777777" w:rsidR="00493791" w:rsidRDefault="00493791" w:rsidP="003245ED">
      <w:pPr>
        <w:spacing w:after="0" w:line="240" w:lineRule="auto"/>
      </w:pPr>
      <w:r>
        <w:separator/>
      </w:r>
    </w:p>
  </w:endnote>
  <w:endnote w:type="continuationSeparator" w:id="0">
    <w:p w14:paraId="561647A7" w14:textId="77777777" w:rsidR="00493791" w:rsidRDefault="00493791" w:rsidP="0032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6A9B" w14:textId="507D3EC0" w:rsidR="00E772E5" w:rsidRDefault="002D5BCB" w:rsidP="001037DA">
    <w:pPr>
      <w:pStyle w:val="Footer"/>
      <w:jc w:val="center"/>
    </w:pPr>
    <w:r>
      <w:rPr>
        <w:noProof/>
        <w:lang w:val="en-IN" w:eastAsia="en-IN"/>
      </w:rPr>
      <w:drawing>
        <wp:inline distT="0" distB="0" distL="0" distR="0" wp14:anchorId="6FDD3C37" wp14:editId="30370D9D">
          <wp:extent cx="5943600" cy="770655"/>
          <wp:effectExtent l="0" t="0" r="0" b="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75CC" w14:textId="77777777" w:rsidR="00493791" w:rsidRDefault="00493791" w:rsidP="003245ED">
      <w:pPr>
        <w:spacing w:after="0" w:line="240" w:lineRule="auto"/>
      </w:pPr>
      <w:r>
        <w:separator/>
      </w:r>
    </w:p>
  </w:footnote>
  <w:footnote w:type="continuationSeparator" w:id="0">
    <w:p w14:paraId="615BD2E8" w14:textId="77777777" w:rsidR="00493791" w:rsidRDefault="00493791" w:rsidP="0032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7597" w14:textId="65F65FAF" w:rsidR="00260FDD" w:rsidRDefault="001037DA">
    <w:pPr>
      <w:pStyle w:val="Header"/>
    </w:pPr>
    <w:r>
      <w:rPr>
        <w:noProof/>
      </w:rPr>
      <w:drawing>
        <wp:inline distT="0" distB="0" distL="0" distR="0" wp14:anchorId="37C1B67C" wp14:editId="1D827AD5">
          <wp:extent cx="1194141" cy="866775"/>
          <wp:effectExtent l="0" t="0" r="0" b="0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IF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76" cy="8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DF9"/>
    <w:multiLevelType w:val="hybridMultilevel"/>
    <w:tmpl w:val="347CCB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26231"/>
    <w:multiLevelType w:val="hybridMultilevel"/>
    <w:tmpl w:val="AE02F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3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950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473C13"/>
    <w:multiLevelType w:val="hybridMultilevel"/>
    <w:tmpl w:val="B10E0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378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E67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27781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58992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36B91"/>
    <w:multiLevelType w:val="singleLevel"/>
    <w:tmpl w:val="DF30F71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5F30010E"/>
    <w:multiLevelType w:val="hybridMultilevel"/>
    <w:tmpl w:val="3F0C08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4B3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C33AA9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</w:lvl>
  </w:abstractNum>
  <w:abstractNum w:abstractNumId="13" w15:restartNumberingAfterBreak="0">
    <w:nsid w:val="700828EE"/>
    <w:multiLevelType w:val="singleLevel"/>
    <w:tmpl w:val="0A164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75AF1432"/>
    <w:multiLevelType w:val="singleLevel"/>
    <w:tmpl w:val="0A164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720013521">
    <w:abstractNumId w:val="7"/>
    <w:lvlOverride w:ilvl="0">
      <w:startOverride w:val="1"/>
    </w:lvlOverride>
  </w:num>
  <w:num w:numId="2" w16cid:durableId="1133670174">
    <w:abstractNumId w:val="5"/>
  </w:num>
  <w:num w:numId="3" w16cid:durableId="256795428">
    <w:abstractNumId w:val="9"/>
    <w:lvlOverride w:ilvl="0">
      <w:startOverride w:val="1"/>
    </w:lvlOverride>
  </w:num>
  <w:num w:numId="4" w16cid:durableId="1052343914">
    <w:abstractNumId w:val="6"/>
  </w:num>
  <w:num w:numId="5" w16cid:durableId="1623153870">
    <w:abstractNumId w:val="8"/>
  </w:num>
  <w:num w:numId="6" w16cid:durableId="456800344">
    <w:abstractNumId w:val="2"/>
  </w:num>
  <w:num w:numId="7" w16cid:durableId="678237324">
    <w:abstractNumId w:val="12"/>
  </w:num>
  <w:num w:numId="8" w16cid:durableId="1920479581">
    <w:abstractNumId w:val="14"/>
  </w:num>
  <w:num w:numId="9" w16cid:durableId="592207109">
    <w:abstractNumId w:val="13"/>
  </w:num>
  <w:num w:numId="10" w16cid:durableId="1507355665">
    <w:abstractNumId w:val="11"/>
  </w:num>
  <w:num w:numId="11" w16cid:durableId="1874267896">
    <w:abstractNumId w:val="3"/>
  </w:num>
  <w:num w:numId="12" w16cid:durableId="1980331668">
    <w:abstractNumId w:val="1"/>
  </w:num>
  <w:num w:numId="13" w16cid:durableId="1169174482">
    <w:abstractNumId w:val="10"/>
  </w:num>
  <w:num w:numId="14" w16cid:durableId="1062286482">
    <w:abstractNumId w:val="0"/>
  </w:num>
  <w:num w:numId="15" w16cid:durableId="1652368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ED"/>
    <w:rsid w:val="000067D5"/>
    <w:rsid w:val="00006ACF"/>
    <w:rsid w:val="000333B6"/>
    <w:rsid w:val="000E47E8"/>
    <w:rsid w:val="001037DA"/>
    <w:rsid w:val="00132A67"/>
    <w:rsid w:val="001877CF"/>
    <w:rsid w:val="001977B5"/>
    <w:rsid w:val="001A4C55"/>
    <w:rsid w:val="001D263A"/>
    <w:rsid w:val="00260FDD"/>
    <w:rsid w:val="002D51A4"/>
    <w:rsid w:val="002D5BCB"/>
    <w:rsid w:val="003245ED"/>
    <w:rsid w:val="00360688"/>
    <w:rsid w:val="00463C58"/>
    <w:rsid w:val="00493791"/>
    <w:rsid w:val="004F5419"/>
    <w:rsid w:val="0050517A"/>
    <w:rsid w:val="00592D8D"/>
    <w:rsid w:val="005B2149"/>
    <w:rsid w:val="005E518E"/>
    <w:rsid w:val="006111F5"/>
    <w:rsid w:val="006A008E"/>
    <w:rsid w:val="0072774D"/>
    <w:rsid w:val="007638CC"/>
    <w:rsid w:val="00783FF6"/>
    <w:rsid w:val="00790FBA"/>
    <w:rsid w:val="008D5F45"/>
    <w:rsid w:val="008F7E1E"/>
    <w:rsid w:val="00906E55"/>
    <w:rsid w:val="00A06F42"/>
    <w:rsid w:val="00AA4EF4"/>
    <w:rsid w:val="00AE25AB"/>
    <w:rsid w:val="00B44B74"/>
    <w:rsid w:val="00B6136D"/>
    <w:rsid w:val="00B763DD"/>
    <w:rsid w:val="00BB3B53"/>
    <w:rsid w:val="00C25387"/>
    <w:rsid w:val="00C35CF8"/>
    <w:rsid w:val="00C558A4"/>
    <w:rsid w:val="00DA1D8A"/>
    <w:rsid w:val="00E001AD"/>
    <w:rsid w:val="00E772E5"/>
    <w:rsid w:val="00E87775"/>
    <w:rsid w:val="00ED69B2"/>
    <w:rsid w:val="00F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58639"/>
  <w15:docId w15:val="{6852A786-6724-41FD-BBBB-58289F7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ED"/>
  </w:style>
  <w:style w:type="paragraph" w:styleId="Footer">
    <w:name w:val="footer"/>
    <w:basedOn w:val="Normal"/>
    <w:link w:val="FooterChar"/>
    <w:uiPriority w:val="99"/>
    <w:unhideWhenUsed/>
    <w:rsid w:val="003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ED"/>
  </w:style>
  <w:style w:type="paragraph" w:styleId="BalloonText">
    <w:name w:val="Balloon Text"/>
    <w:basedOn w:val="Normal"/>
    <w:link w:val="BalloonTextChar"/>
    <w:uiPriority w:val="99"/>
    <w:semiHidden/>
    <w:unhideWhenUsed/>
    <w:rsid w:val="0032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6" ma:contentTypeDescription="Create a new document." ma:contentTypeScope="" ma:versionID="b6dcdd6ab223bbe57bfa12e04aa3554e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c79ff888ac388df1a22fa24560287f0e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b8517c-993d-4bc0-960e-31ea18fa1f8d">
      <UserInfo>
        <DisplayName/>
        <AccountId xsi:nil="true"/>
        <AccountType/>
      </UserInfo>
    </SharedWithUsers>
    <MediaLengthInSeconds xmlns="13b0e6ce-e2b4-4783-bf92-5ad5e4159dac" xsi:nil="true"/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54350E18-E611-4E3E-A53B-94AFB80D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5EBA5-5A72-40C8-9DC9-B4EB9FAEC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9E5FC-E8F8-455E-8603-E8D4D03D809B}">
  <ds:schemaRefs>
    <ds:schemaRef ds:uri="http://schemas.microsoft.com/office/2006/metadata/properties"/>
    <ds:schemaRef ds:uri="http://schemas.microsoft.com/office/infopath/2007/PartnerControls"/>
    <ds:schemaRef ds:uri="b0b8517c-993d-4bc0-960e-31ea18fa1f8d"/>
    <ds:schemaRef ds:uri="13b0e6ce-e2b4-4783-bf92-5ad5e4159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Yancey</dc:creator>
  <cp:lastModifiedBy>Justi Folladori</cp:lastModifiedBy>
  <cp:revision>10</cp:revision>
  <dcterms:created xsi:type="dcterms:W3CDTF">2022-01-19T14:15:00Z</dcterms:created>
  <dcterms:modified xsi:type="dcterms:W3CDTF">2023-07-13T16:21:00Z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